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r>
        <w:rPr>
          <w:rFonts w:ascii="Arial" w:eastAsia="黑体" w:hAnsi="Arial" w:cs="Arial" w:hint="eastAsia"/>
          <w:kern w:val="0"/>
          <w:sz w:val="36"/>
          <w:szCs w:val="36"/>
        </w:rPr>
        <w:t>湖南省地方标准</w:t>
      </w:r>
    </w:p>
    <w:p w:rsidR="00420ED3" w:rsidRDefault="00420ED3" w:rsidP="00420ED3">
      <w:pPr>
        <w:adjustRightInd w:val="0"/>
        <w:jc w:val="center"/>
        <w:textAlignment w:val="center"/>
        <w:rPr>
          <w:rFonts w:ascii="Arial" w:eastAsia="黑体" w:hAnsi="Arial" w:cs="Arial"/>
          <w:kern w:val="0"/>
          <w:sz w:val="36"/>
          <w:szCs w:val="36"/>
        </w:rPr>
      </w:pPr>
      <w:r>
        <w:rPr>
          <w:rFonts w:ascii="Arial" w:eastAsia="黑体" w:hAnsi="Arial" w:cs="Arial" w:hint="eastAsia"/>
          <w:kern w:val="0"/>
          <w:sz w:val="36"/>
          <w:szCs w:val="36"/>
        </w:rPr>
        <w:t>行政机关能耗限额及计算方法</w:t>
      </w:r>
    </w:p>
    <w:p w:rsidR="00420ED3" w:rsidRDefault="0006671D" w:rsidP="00420ED3">
      <w:pPr>
        <w:adjustRightInd w:val="0"/>
        <w:jc w:val="center"/>
        <w:textAlignment w:val="center"/>
        <w:rPr>
          <w:rFonts w:ascii="Arial" w:eastAsia="黑体" w:hAnsi="Arial" w:cs="Arial"/>
          <w:kern w:val="0"/>
          <w:sz w:val="36"/>
          <w:szCs w:val="36"/>
        </w:rPr>
      </w:pPr>
      <w:r>
        <w:rPr>
          <w:rFonts w:ascii="Arial" w:eastAsia="黑体" w:hAnsi="Arial" w:cs="Arial" w:hint="eastAsia"/>
          <w:kern w:val="0"/>
          <w:sz w:val="36"/>
          <w:szCs w:val="36"/>
        </w:rPr>
        <w:t>（征求意见</w:t>
      </w:r>
      <w:r w:rsidR="00420ED3">
        <w:rPr>
          <w:rFonts w:ascii="Arial" w:eastAsia="黑体" w:hAnsi="Arial" w:cs="Arial" w:hint="eastAsia"/>
          <w:kern w:val="0"/>
          <w:sz w:val="36"/>
          <w:szCs w:val="36"/>
        </w:rPr>
        <w:t>稿）</w:t>
      </w:r>
    </w:p>
    <w:p w:rsidR="00420ED3" w:rsidRDefault="00420ED3" w:rsidP="00420ED3">
      <w:pPr>
        <w:adjustRightInd w:val="0"/>
        <w:jc w:val="center"/>
        <w:textAlignment w:val="center"/>
        <w:rPr>
          <w:rFonts w:ascii="Arial" w:eastAsia="黑体" w:hAnsi="Arial" w:cs="Arial"/>
          <w:kern w:val="0"/>
          <w:sz w:val="36"/>
          <w:szCs w:val="36"/>
        </w:rPr>
      </w:pPr>
      <w:r>
        <w:rPr>
          <w:rFonts w:ascii="Arial" w:eastAsia="黑体" w:hAnsi="Arial" w:cs="Arial" w:hint="eastAsia"/>
          <w:kern w:val="0"/>
          <w:sz w:val="36"/>
          <w:szCs w:val="36"/>
        </w:rPr>
        <w:t>编制说明</w:t>
      </w: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36"/>
          <w:szCs w:val="36"/>
        </w:rPr>
      </w:pPr>
    </w:p>
    <w:p w:rsidR="00420ED3" w:rsidRDefault="00420ED3" w:rsidP="00420ED3">
      <w:pPr>
        <w:adjustRightInd w:val="0"/>
        <w:jc w:val="center"/>
        <w:textAlignment w:val="center"/>
        <w:rPr>
          <w:rFonts w:ascii="Arial" w:eastAsia="黑体" w:hAnsi="Arial" w:cs="Arial"/>
          <w:kern w:val="0"/>
          <w:sz w:val="28"/>
          <w:szCs w:val="28"/>
        </w:rPr>
      </w:pPr>
      <w:r>
        <w:rPr>
          <w:rFonts w:ascii="Arial" w:eastAsia="黑体" w:hAnsi="Arial" w:cs="Arial" w:hint="eastAsia"/>
          <w:kern w:val="0"/>
          <w:sz w:val="28"/>
          <w:szCs w:val="28"/>
        </w:rPr>
        <w:t>2016</w:t>
      </w:r>
      <w:r>
        <w:rPr>
          <w:rFonts w:ascii="Arial" w:eastAsia="黑体" w:hAnsi="Arial" w:cs="Arial" w:hint="eastAsia"/>
          <w:kern w:val="0"/>
          <w:sz w:val="28"/>
          <w:szCs w:val="28"/>
        </w:rPr>
        <w:t>年</w:t>
      </w:r>
      <w:r>
        <w:rPr>
          <w:rFonts w:ascii="Arial" w:eastAsia="黑体" w:hAnsi="Arial" w:cs="Arial" w:hint="eastAsia"/>
          <w:kern w:val="0"/>
          <w:sz w:val="28"/>
          <w:szCs w:val="28"/>
        </w:rPr>
        <w:t>5</w:t>
      </w:r>
      <w:r>
        <w:rPr>
          <w:rFonts w:ascii="Arial" w:eastAsia="黑体" w:hAnsi="Arial" w:cs="Arial" w:hint="eastAsia"/>
          <w:kern w:val="0"/>
          <w:sz w:val="28"/>
          <w:szCs w:val="28"/>
        </w:rPr>
        <w:t>月</w:t>
      </w:r>
      <w:r>
        <w:rPr>
          <w:rFonts w:ascii="Arial" w:eastAsia="黑体" w:hAnsi="Arial" w:cs="Arial" w:hint="eastAsia"/>
          <w:kern w:val="0"/>
          <w:sz w:val="28"/>
          <w:szCs w:val="28"/>
        </w:rPr>
        <w:t>31</w:t>
      </w:r>
      <w:r>
        <w:rPr>
          <w:rFonts w:ascii="Arial" w:eastAsia="黑体" w:hAnsi="Arial" w:cs="Arial" w:hint="eastAsia"/>
          <w:kern w:val="0"/>
          <w:sz w:val="28"/>
          <w:szCs w:val="28"/>
        </w:rPr>
        <w:t>日</w:t>
      </w:r>
    </w:p>
    <w:p w:rsidR="00420ED3" w:rsidRDefault="00420ED3" w:rsidP="00420ED3">
      <w:pPr>
        <w:adjustRightInd w:val="0"/>
        <w:jc w:val="center"/>
        <w:textAlignment w:val="center"/>
        <w:rPr>
          <w:rFonts w:ascii="Arial" w:eastAsia="黑体" w:hAnsi="Arial" w:cs="Arial"/>
          <w:kern w:val="0"/>
          <w:sz w:val="28"/>
          <w:szCs w:val="28"/>
        </w:rPr>
      </w:pPr>
    </w:p>
    <w:p w:rsidR="00420ED3" w:rsidRDefault="00420ED3" w:rsidP="00420ED3">
      <w:pPr>
        <w:adjustRightInd w:val="0"/>
        <w:jc w:val="center"/>
        <w:textAlignment w:val="center"/>
        <w:rPr>
          <w:rFonts w:ascii="Arial" w:eastAsia="黑体" w:hAnsi="Arial" w:cs="Arial"/>
          <w:kern w:val="0"/>
          <w:sz w:val="28"/>
          <w:szCs w:val="28"/>
        </w:rPr>
      </w:pPr>
    </w:p>
    <w:p w:rsidR="00420ED3" w:rsidRDefault="00420ED3" w:rsidP="00420ED3">
      <w:pPr>
        <w:adjustRightInd w:val="0"/>
        <w:jc w:val="center"/>
        <w:textAlignment w:val="center"/>
        <w:rPr>
          <w:rFonts w:ascii="黑体" w:eastAsia="黑体" w:hAnsi="黑体"/>
          <w:sz w:val="28"/>
          <w:szCs w:val="28"/>
        </w:rPr>
      </w:pPr>
      <w:r>
        <w:rPr>
          <w:rFonts w:ascii="黑体" w:eastAsia="黑体" w:hAnsi="黑体" w:hint="eastAsia"/>
          <w:sz w:val="28"/>
          <w:szCs w:val="28"/>
        </w:rPr>
        <w:lastRenderedPageBreak/>
        <w:t>目  录</w:t>
      </w:r>
    </w:p>
    <w:p w:rsidR="00420ED3" w:rsidRDefault="00420ED3" w:rsidP="00420ED3">
      <w:pPr>
        <w:pStyle w:val="10"/>
        <w:tabs>
          <w:tab w:val="right" w:leader="dot" w:pos="8306"/>
        </w:tabs>
        <w:rPr>
          <w:rFonts w:ascii="Arial" w:eastAsia="黑体" w:hAnsi="Arial" w:cs="Arial"/>
          <w:kern w:val="0"/>
          <w:sz w:val="28"/>
          <w:szCs w:val="28"/>
        </w:rPr>
      </w:pPr>
    </w:p>
    <w:p w:rsidR="00420ED3" w:rsidRDefault="00420ED3" w:rsidP="00420ED3">
      <w:pPr>
        <w:pStyle w:val="10"/>
        <w:tabs>
          <w:tab w:val="right" w:leader="dot" w:pos="8306"/>
        </w:tabs>
        <w:rPr>
          <w:rFonts w:ascii="仿宋_GB2312" w:eastAsia="仿宋_GB2312" w:hAnsi="仿宋_GB2312" w:cs="仿宋_GB2312"/>
          <w:kern w:val="0"/>
          <w:sz w:val="28"/>
          <w:szCs w:val="28"/>
        </w:rPr>
      </w:pPr>
    </w:p>
    <w:p w:rsidR="003B0E9C" w:rsidRPr="003B0E9C" w:rsidRDefault="00420ED3">
      <w:pPr>
        <w:pStyle w:val="10"/>
        <w:tabs>
          <w:tab w:val="left" w:pos="420"/>
          <w:tab w:val="right" w:leader="dot" w:pos="8296"/>
        </w:tabs>
        <w:rPr>
          <w:rFonts w:asciiTheme="minorEastAsia" w:eastAsiaTheme="minorEastAsia" w:hAnsiTheme="minorEastAsia" w:cstheme="minorBidi"/>
          <w:noProof/>
          <w:sz w:val="28"/>
          <w:szCs w:val="28"/>
        </w:rPr>
      </w:pPr>
      <w:r w:rsidRPr="003B0E9C">
        <w:rPr>
          <w:rFonts w:asciiTheme="minorEastAsia" w:eastAsiaTheme="minorEastAsia" w:hAnsiTheme="minorEastAsia" w:cs="仿宋_GB2312" w:hint="eastAsia"/>
          <w:kern w:val="0"/>
          <w:sz w:val="28"/>
          <w:szCs w:val="28"/>
        </w:rPr>
        <w:fldChar w:fldCharType="begin"/>
      </w:r>
      <w:r w:rsidRPr="003B0E9C">
        <w:rPr>
          <w:rFonts w:asciiTheme="minorEastAsia" w:eastAsiaTheme="minorEastAsia" w:hAnsiTheme="minorEastAsia" w:cs="仿宋_GB2312" w:hint="eastAsia"/>
          <w:kern w:val="0"/>
          <w:sz w:val="28"/>
          <w:szCs w:val="28"/>
        </w:rPr>
        <w:instrText xml:space="preserve">TOC \o "1-3" \h \u </w:instrText>
      </w:r>
      <w:r w:rsidRPr="003B0E9C">
        <w:rPr>
          <w:rFonts w:asciiTheme="minorEastAsia" w:eastAsiaTheme="minorEastAsia" w:hAnsiTheme="minorEastAsia" w:cs="仿宋_GB2312" w:hint="eastAsia"/>
          <w:kern w:val="0"/>
          <w:sz w:val="28"/>
          <w:szCs w:val="28"/>
        </w:rPr>
        <w:fldChar w:fldCharType="separate"/>
      </w:r>
      <w:hyperlink w:anchor="_Toc452542538" w:history="1">
        <w:r w:rsidR="003B0E9C" w:rsidRPr="003B0E9C">
          <w:rPr>
            <w:rStyle w:val="a9"/>
            <w:rFonts w:asciiTheme="minorEastAsia" w:eastAsiaTheme="minorEastAsia" w:hAnsiTheme="minorEastAsia"/>
            <w:noProof/>
            <w:sz w:val="28"/>
            <w:szCs w:val="28"/>
          </w:rPr>
          <w:t>1</w:t>
        </w:r>
        <w:r w:rsidR="003B0E9C" w:rsidRPr="003B0E9C">
          <w:rPr>
            <w:rFonts w:asciiTheme="minorEastAsia" w:eastAsiaTheme="minorEastAsia" w:hAnsiTheme="minorEastAsia" w:cstheme="minorBidi"/>
            <w:noProof/>
            <w:sz w:val="28"/>
            <w:szCs w:val="28"/>
          </w:rPr>
          <w:tab/>
        </w:r>
        <w:r w:rsidR="003B0E9C" w:rsidRPr="003B0E9C">
          <w:rPr>
            <w:rStyle w:val="a9"/>
            <w:rFonts w:asciiTheme="minorEastAsia" w:eastAsiaTheme="minorEastAsia" w:hAnsiTheme="minorEastAsia" w:hint="eastAsia"/>
            <w:noProof/>
            <w:sz w:val="28"/>
            <w:szCs w:val="28"/>
          </w:rPr>
          <w:t>项目背景</w:t>
        </w:r>
        <w:r w:rsidR="003B0E9C" w:rsidRPr="003B0E9C">
          <w:rPr>
            <w:rFonts w:asciiTheme="minorEastAsia" w:eastAsiaTheme="minorEastAsia" w:hAnsiTheme="minorEastAsia"/>
            <w:noProof/>
            <w:sz w:val="28"/>
            <w:szCs w:val="28"/>
          </w:rPr>
          <w:tab/>
        </w:r>
        <w:r w:rsidR="003B0E9C" w:rsidRPr="003B0E9C">
          <w:rPr>
            <w:rFonts w:asciiTheme="minorEastAsia" w:eastAsiaTheme="minorEastAsia" w:hAnsiTheme="minorEastAsia"/>
            <w:noProof/>
            <w:sz w:val="28"/>
            <w:szCs w:val="28"/>
          </w:rPr>
          <w:fldChar w:fldCharType="begin"/>
        </w:r>
        <w:r w:rsidR="003B0E9C" w:rsidRPr="003B0E9C">
          <w:rPr>
            <w:rFonts w:asciiTheme="minorEastAsia" w:eastAsiaTheme="minorEastAsia" w:hAnsiTheme="minorEastAsia"/>
            <w:noProof/>
            <w:sz w:val="28"/>
            <w:szCs w:val="28"/>
          </w:rPr>
          <w:instrText xml:space="preserve"> PAGEREF _Toc452542538 \h </w:instrText>
        </w:r>
        <w:r w:rsidR="003B0E9C" w:rsidRPr="003B0E9C">
          <w:rPr>
            <w:rFonts w:asciiTheme="minorEastAsia" w:eastAsiaTheme="minorEastAsia" w:hAnsiTheme="minorEastAsia"/>
            <w:noProof/>
            <w:sz w:val="28"/>
            <w:szCs w:val="28"/>
          </w:rPr>
        </w:r>
        <w:r w:rsidR="003B0E9C" w:rsidRPr="003B0E9C">
          <w:rPr>
            <w:rFonts w:asciiTheme="minorEastAsia" w:eastAsiaTheme="minorEastAsia" w:hAnsiTheme="minorEastAsia"/>
            <w:noProof/>
            <w:sz w:val="28"/>
            <w:szCs w:val="28"/>
          </w:rPr>
          <w:fldChar w:fldCharType="separate"/>
        </w:r>
        <w:r w:rsidR="0006671D">
          <w:rPr>
            <w:rFonts w:asciiTheme="minorEastAsia" w:eastAsiaTheme="minorEastAsia" w:hAnsiTheme="minorEastAsia"/>
            <w:noProof/>
            <w:sz w:val="28"/>
            <w:szCs w:val="28"/>
          </w:rPr>
          <w:t>3</w:t>
        </w:r>
        <w:r w:rsidR="003B0E9C" w:rsidRPr="003B0E9C">
          <w:rPr>
            <w:rFonts w:asciiTheme="minorEastAsia" w:eastAsiaTheme="minorEastAsia" w:hAnsiTheme="minorEastAsia"/>
            <w:noProof/>
            <w:sz w:val="28"/>
            <w:szCs w:val="28"/>
          </w:rPr>
          <w:fldChar w:fldCharType="end"/>
        </w:r>
      </w:hyperlink>
    </w:p>
    <w:p w:rsidR="003B0E9C" w:rsidRPr="003B0E9C" w:rsidRDefault="00937724">
      <w:pPr>
        <w:pStyle w:val="10"/>
        <w:tabs>
          <w:tab w:val="left" w:pos="420"/>
          <w:tab w:val="right" w:leader="dot" w:pos="8296"/>
        </w:tabs>
        <w:rPr>
          <w:rFonts w:asciiTheme="minorEastAsia" w:eastAsiaTheme="minorEastAsia" w:hAnsiTheme="minorEastAsia" w:cstheme="minorBidi"/>
          <w:noProof/>
          <w:sz w:val="28"/>
          <w:szCs w:val="28"/>
        </w:rPr>
      </w:pPr>
      <w:hyperlink w:anchor="_Toc452542539" w:history="1">
        <w:r w:rsidR="003B0E9C" w:rsidRPr="003B0E9C">
          <w:rPr>
            <w:rStyle w:val="a9"/>
            <w:rFonts w:asciiTheme="minorEastAsia" w:eastAsiaTheme="minorEastAsia" w:hAnsiTheme="minorEastAsia"/>
            <w:noProof/>
            <w:sz w:val="28"/>
            <w:szCs w:val="28"/>
          </w:rPr>
          <w:t>2</w:t>
        </w:r>
        <w:r w:rsidR="003B0E9C" w:rsidRPr="003B0E9C">
          <w:rPr>
            <w:rFonts w:asciiTheme="minorEastAsia" w:eastAsiaTheme="minorEastAsia" w:hAnsiTheme="minorEastAsia" w:cstheme="minorBidi"/>
            <w:noProof/>
            <w:sz w:val="28"/>
            <w:szCs w:val="28"/>
          </w:rPr>
          <w:tab/>
        </w:r>
        <w:r w:rsidR="003B0E9C" w:rsidRPr="003B0E9C">
          <w:rPr>
            <w:rStyle w:val="a9"/>
            <w:rFonts w:asciiTheme="minorEastAsia" w:eastAsiaTheme="minorEastAsia" w:hAnsiTheme="minorEastAsia" w:hint="eastAsia"/>
            <w:noProof/>
            <w:sz w:val="28"/>
            <w:szCs w:val="28"/>
          </w:rPr>
          <w:t>工作简况</w:t>
        </w:r>
        <w:r w:rsidR="003B0E9C" w:rsidRPr="003B0E9C">
          <w:rPr>
            <w:rFonts w:asciiTheme="minorEastAsia" w:eastAsiaTheme="minorEastAsia" w:hAnsiTheme="minorEastAsia"/>
            <w:noProof/>
            <w:sz w:val="28"/>
            <w:szCs w:val="28"/>
          </w:rPr>
          <w:tab/>
        </w:r>
        <w:r w:rsidR="003B0E9C" w:rsidRPr="003B0E9C">
          <w:rPr>
            <w:rFonts w:asciiTheme="minorEastAsia" w:eastAsiaTheme="minorEastAsia" w:hAnsiTheme="minorEastAsia"/>
            <w:noProof/>
            <w:sz w:val="28"/>
            <w:szCs w:val="28"/>
          </w:rPr>
          <w:fldChar w:fldCharType="begin"/>
        </w:r>
        <w:r w:rsidR="003B0E9C" w:rsidRPr="003B0E9C">
          <w:rPr>
            <w:rFonts w:asciiTheme="minorEastAsia" w:eastAsiaTheme="minorEastAsia" w:hAnsiTheme="minorEastAsia"/>
            <w:noProof/>
            <w:sz w:val="28"/>
            <w:szCs w:val="28"/>
          </w:rPr>
          <w:instrText xml:space="preserve"> PAGEREF _Toc452542539 \h </w:instrText>
        </w:r>
        <w:r w:rsidR="003B0E9C" w:rsidRPr="003B0E9C">
          <w:rPr>
            <w:rFonts w:asciiTheme="minorEastAsia" w:eastAsiaTheme="minorEastAsia" w:hAnsiTheme="minorEastAsia"/>
            <w:noProof/>
            <w:sz w:val="28"/>
            <w:szCs w:val="28"/>
          </w:rPr>
        </w:r>
        <w:r w:rsidR="003B0E9C" w:rsidRPr="003B0E9C">
          <w:rPr>
            <w:rFonts w:asciiTheme="minorEastAsia" w:eastAsiaTheme="minorEastAsia" w:hAnsiTheme="minorEastAsia"/>
            <w:noProof/>
            <w:sz w:val="28"/>
            <w:szCs w:val="28"/>
          </w:rPr>
          <w:fldChar w:fldCharType="separate"/>
        </w:r>
        <w:r w:rsidR="0006671D">
          <w:rPr>
            <w:rFonts w:asciiTheme="minorEastAsia" w:eastAsiaTheme="minorEastAsia" w:hAnsiTheme="minorEastAsia"/>
            <w:noProof/>
            <w:sz w:val="28"/>
            <w:szCs w:val="28"/>
          </w:rPr>
          <w:t>3</w:t>
        </w:r>
        <w:r w:rsidR="003B0E9C" w:rsidRPr="003B0E9C">
          <w:rPr>
            <w:rFonts w:asciiTheme="minorEastAsia" w:eastAsiaTheme="minorEastAsia" w:hAnsiTheme="minorEastAsia"/>
            <w:noProof/>
            <w:sz w:val="28"/>
            <w:szCs w:val="28"/>
          </w:rPr>
          <w:fldChar w:fldCharType="end"/>
        </w:r>
      </w:hyperlink>
    </w:p>
    <w:p w:rsidR="003B0E9C" w:rsidRPr="003B0E9C" w:rsidRDefault="00937724">
      <w:pPr>
        <w:pStyle w:val="10"/>
        <w:tabs>
          <w:tab w:val="left" w:pos="420"/>
          <w:tab w:val="right" w:leader="dot" w:pos="8296"/>
        </w:tabs>
        <w:rPr>
          <w:rFonts w:asciiTheme="minorEastAsia" w:eastAsiaTheme="minorEastAsia" w:hAnsiTheme="minorEastAsia" w:cstheme="minorBidi"/>
          <w:noProof/>
          <w:sz w:val="28"/>
          <w:szCs w:val="28"/>
        </w:rPr>
      </w:pPr>
      <w:hyperlink w:anchor="_Toc452542540" w:history="1">
        <w:r w:rsidR="003B0E9C" w:rsidRPr="003B0E9C">
          <w:rPr>
            <w:rStyle w:val="a9"/>
            <w:rFonts w:asciiTheme="minorEastAsia" w:eastAsiaTheme="minorEastAsia" w:hAnsiTheme="minorEastAsia"/>
            <w:noProof/>
            <w:sz w:val="28"/>
            <w:szCs w:val="28"/>
          </w:rPr>
          <w:t>3</w:t>
        </w:r>
        <w:r w:rsidR="003B0E9C" w:rsidRPr="003B0E9C">
          <w:rPr>
            <w:rFonts w:asciiTheme="minorEastAsia" w:eastAsiaTheme="minorEastAsia" w:hAnsiTheme="minorEastAsia" w:cstheme="minorBidi"/>
            <w:noProof/>
            <w:sz w:val="28"/>
            <w:szCs w:val="28"/>
          </w:rPr>
          <w:tab/>
        </w:r>
        <w:r w:rsidR="003B0E9C" w:rsidRPr="003B0E9C">
          <w:rPr>
            <w:rStyle w:val="a9"/>
            <w:rFonts w:asciiTheme="minorEastAsia" w:eastAsiaTheme="minorEastAsia" w:hAnsiTheme="minorEastAsia" w:hint="eastAsia"/>
            <w:noProof/>
            <w:sz w:val="28"/>
            <w:szCs w:val="28"/>
          </w:rPr>
          <w:t>标准修订原则及与替代标准的主要差异情况</w:t>
        </w:r>
        <w:r w:rsidR="003B0E9C" w:rsidRPr="003B0E9C">
          <w:rPr>
            <w:rFonts w:asciiTheme="minorEastAsia" w:eastAsiaTheme="minorEastAsia" w:hAnsiTheme="minorEastAsia"/>
            <w:noProof/>
            <w:sz w:val="28"/>
            <w:szCs w:val="28"/>
          </w:rPr>
          <w:tab/>
        </w:r>
        <w:r w:rsidR="003B0E9C" w:rsidRPr="003B0E9C">
          <w:rPr>
            <w:rFonts w:asciiTheme="minorEastAsia" w:eastAsiaTheme="minorEastAsia" w:hAnsiTheme="minorEastAsia"/>
            <w:noProof/>
            <w:sz w:val="28"/>
            <w:szCs w:val="28"/>
          </w:rPr>
          <w:fldChar w:fldCharType="begin"/>
        </w:r>
        <w:r w:rsidR="003B0E9C" w:rsidRPr="003B0E9C">
          <w:rPr>
            <w:rFonts w:asciiTheme="minorEastAsia" w:eastAsiaTheme="minorEastAsia" w:hAnsiTheme="minorEastAsia"/>
            <w:noProof/>
            <w:sz w:val="28"/>
            <w:szCs w:val="28"/>
          </w:rPr>
          <w:instrText xml:space="preserve"> PAGEREF _Toc452542540 \h </w:instrText>
        </w:r>
        <w:r w:rsidR="003B0E9C" w:rsidRPr="003B0E9C">
          <w:rPr>
            <w:rFonts w:asciiTheme="minorEastAsia" w:eastAsiaTheme="minorEastAsia" w:hAnsiTheme="minorEastAsia"/>
            <w:noProof/>
            <w:sz w:val="28"/>
            <w:szCs w:val="28"/>
          </w:rPr>
        </w:r>
        <w:r w:rsidR="003B0E9C" w:rsidRPr="003B0E9C">
          <w:rPr>
            <w:rFonts w:asciiTheme="minorEastAsia" w:eastAsiaTheme="minorEastAsia" w:hAnsiTheme="minorEastAsia"/>
            <w:noProof/>
            <w:sz w:val="28"/>
            <w:szCs w:val="28"/>
          </w:rPr>
          <w:fldChar w:fldCharType="separate"/>
        </w:r>
        <w:r w:rsidR="0006671D">
          <w:rPr>
            <w:rFonts w:asciiTheme="minorEastAsia" w:eastAsiaTheme="minorEastAsia" w:hAnsiTheme="minorEastAsia"/>
            <w:noProof/>
            <w:sz w:val="28"/>
            <w:szCs w:val="28"/>
          </w:rPr>
          <w:t>5</w:t>
        </w:r>
        <w:r w:rsidR="003B0E9C" w:rsidRPr="003B0E9C">
          <w:rPr>
            <w:rFonts w:asciiTheme="minorEastAsia" w:eastAsiaTheme="minorEastAsia" w:hAnsiTheme="minorEastAsia"/>
            <w:noProof/>
            <w:sz w:val="28"/>
            <w:szCs w:val="28"/>
          </w:rPr>
          <w:fldChar w:fldCharType="end"/>
        </w:r>
      </w:hyperlink>
    </w:p>
    <w:p w:rsidR="003B0E9C" w:rsidRPr="003B0E9C" w:rsidRDefault="00937724">
      <w:pPr>
        <w:pStyle w:val="10"/>
        <w:tabs>
          <w:tab w:val="left" w:pos="420"/>
          <w:tab w:val="right" w:leader="dot" w:pos="8296"/>
        </w:tabs>
        <w:rPr>
          <w:rFonts w:asciiTheme="minorEastAsia" w:eastAsiaTheme="minorEastAsia" w:hAnsiTheme="minorEastAsia" w:cstheme="minorBidi"/>
          <w:noProof/>
          <w:sz w:val="28"/>
          <w:szCs w:val="28"/>
        </w:rPr>
      </w:pPr>
      <w:hyperlink w:anchor="_Toc452542541" w:history="1">
        <w:r w:rsidR="003B0E9C" w:rsidRPr="003B0E9C">
          <w:rPr>
            <w:rStyle w:val="a9"/>
            <w:rFonts w:asciiTheme="minorEastAsia" w:eastAsiaTheme="minorEastAsia" w:hAnsiTheme="minorEastAsia"/>
            <w:noProof/>
            <w:sz w:val="28"/>
            <w:szCs w:val="28"/>
          </w:rPr>
          <w:t>4</w:t>
        </w:r>
        <w:r w:rsidR="003B0E9C" w:rsidRPr="003B0E9C">
          <w:rPr>
            <w:rFonts w:asciiTheme="minorEastAsia" w:eastAsiaTheme="minorEastAsia" w:hAnsiTheme="minorEastAsia" w:cstheme="minorBidi"/>
            <w:noProof/>
            <w:sz w:val="28"/>
            <w:szCs w:val="28"/>
          </w:rPr>
          <w:tab/>
        </w:r>
        <w:r w:rsidR="003B0E9C" w:rsidRPr="003B0E9C">
          <w:rPr>
            <w:rStyle w:val="a9"/>
            <w:rFonts w:asciiTheme="minorEastAsia" w:eastAsiaTheme="minorEastAsia" w:hAnsiTheme="minorEastAsia" w:hint="eastAsia"/>
            <w:noProof/>
            <w:sz w:val="28"/>
            <w:szCs w:val="28"/>
          </w:rPr>
          <w:t>标准限额指标确定的主要依据</w:t>
        </w:r>
        <w:r w:rsidR="003B0E9C" w:rsidRPr="003B0E9C">
          <w:rPr>
            <w:rFonts w:asciiTheme="minorEastAsia" w:eastAsiaTheme="minorEastAsia" w:hAnsiTheme="minorEastAsia"/>
            <w:noProof/>
            <w:sz w:val="28"/>
            <w:szCs w:val="28"/>
          </w:rPr>
          <w:tab/>
        </w:r>
        <w:r w:rsidR="003B0E9C" w:rsidRPr="003B0E9C">
          <w:rPr>
            <w:rFonts w:asciiTheme="minorEastAsia" w:eastAsiaTheme="minorEastAsia" w:hAnsiTheme="minorEastAsia"/>
            <w:noProof/>
            <w:sz w:val="28"/>
            <w:szCs w:val="28"/>
          </w:rPr>
          <w:fldChar w:fldCharType="begin"/>
        </w:r>
        <w:r w:rsidR="003B0E9C" w:rsidRPr="003B0E9C">
          <w:rPr>
            <w:rFonts w:asciiTheme="minorEastAsia" w:eastAsiaTheme="minorEastAsia" w:hAnsiTheme="minorEastAsia"/>
            <w:noProof/>
            <w:sz w:val="28"/>
            <w:szCs w:val="28"/>
          </w:rPr>
          <w:instrText xml:space="preserve"> PAGEREF _Toc452542541 \h </w:instrText>
        </w:r>
        <w:r w:rsidR="003B0E9C" w:rsidRPr="003B0E9C">
          <w:rPr>
            <w:rFonts w:asciiTheme="minorEastAsia" w:eastAsiaTheme="minorEastAsia" w:hAnsiTheme="minorEastAsia"/>
            <w:noProof/>
            <w:sz w:val="28"/>
            <w:szCs w:val="28"/>
          </w:rPr>
        </w:r>
        <w:r w:rsidR="003B0E9C" w:rsidRPr="003B0E9C">
          <w:rPr>
            <w:rFonts w:asciiTheme="minorEastAsia" w:eastAsiaTheme="minorEastAsia" w:hAnsiTheme="minorEastAsia"/>
            <w:noProof/>
            <w:sz w:val="28"/>
            <w:szCs w:val="28"/>
          </w:rPr>
          <w:fldChar w:fldCharType="separate"/>
        </w:r>
        <w:r w:rsidR="0006671D">
          <w:rPr>
            <w:rFonts w:asciiTheme="minorEastAsia" w:eastAsiaTheme="minorEastAsia" w:hAnsiTheme="minorEastAsia"/>
            <w:noProof/>
            <w:sz w:val="28"/>
            <w:szCs w:val="28"/>
          </w:rPr>
          <w:t>7</w:t>
        </w:r>
        <w:r w:rsidR="003B0E9C" w:rsidRPr="003B0E9C">
          <w:rPr>
            <w:rFonts w:asciiTheme="minorEastAsia" w:eastAsiaTheme="minorEastAsia" w:hAnsiTheme="minorEastAsia"/>
            <w:noProof/>
            <w:sz w:val="28"/>
            <w:szCs w:val="28"/>
          </w:rPr>
          <w:fldChar w:fldCharType="end"/>
        </w:r>
      </w:hyperlink>
    </w:p>
    <w:p w:rsidR="003B0E9C" w:rsidRPr="003B0E9C" w:rsidRDefault="00937724">
      <w:pPr>
        <w:pStyle w:val="10"/>
        <w:tabs>
          <w:tab w:val="left" w:pos="420"/>
          <w:tab w:val="right" w:leader="dot" w:pos="8296"/>
        </w:tabs>
        <w:rPr>
          <w:rFonts w:asciiTheme="minorEastAsia" w:eastAsiaTheme="minorEastAsia" w:hAnsiTheme="minorEastAsia" w:cstheme="minorBidi"/>
          <w:noProof/>
          <w:sz w:val="28"/>
          <w:szCs w:val="28"/>
        </w:rPr>
      </w:pPr>
      <w:hyperlink w:anchor="_Toc452542542" w:history="1">
        <w:r w:rsidR="003B0E9C" w:rsidRPr="003B0E9C">
          <w:rPr>
            <w:rStyle w:val="a9"/>
            <w:rFonts w:asciiTheme="minorEastAsia" w:eastAsiaTheme="minorEastAsia" w:hAnsiTheme="minorEastAsia"/>
            <w:noProof/>
            <w:sz w:val="28"/>
            <w:szCs w:val="28"/>
          </w:rPr>
          <w:t>5</w:t>
        </w:r>
        <w:r w:rsidR="003B0E9C" w:rsidRPr="003B0E9C">
          <w:rPr>
            <w:rFonts w:asciiTheme="minorEastAsia" w:eastAsiaTheme="minorEastAsia" w:hAnsiTheme="minorEastAsia" w:cstheme="minorBidi"/>
            <w:noProof/>
            <w:sz w:val="28"/>
            <w:szCs w:val="28"/>
          </w:rPr>
          <w:tab/>
        </w:r>
        <w:r w:rsidR="003B0E9C" w:rsidRPr="003B0E9C">
          <w:rPr>
            <w:rStyle w:val="a9"/>
            <w:rFonts w:asciiTheme="minorEastAsia" w:eastAsiaTheme="minorEastAsia" w:hAnsiTheme="minorEastAsia" w:hint="eastAsia"/>
            <w:noProof/>
            <w:sz w:val="28"/>
            <w:szCs w:val="28"/>
          </w:rPr>
          <w:t>与我国有关现行法律、法规和其他强制性标准的关系</w:t>
        </w:r>
        <w:r w:rsidR="003B0E9C" w:rsidRPr="003B0E9C">
          <w:rPr>
            <w:rFonts w:asciiTheme="minorEastAsia" w:eastAsiaTheme="minorEastAsia" w:hAnsiTheme="minorEastAsia"/>
            <w:noProof/>
            <w:sz w:val="28"/>
            <w:szCs w:val="28"/>
          </w:rPr>
          <w:tab/>
        </w:r>
        <w:r w:rsidR="003B0E9C" w:rsidRPr="003B0E9C">
          <w:rPr>
            <w:rFonts w:asciiTheme="minorEastAsia" w:eastAsiaTheme="minorEastAsia" w:hAnsiTheme="minorEastAsia"/>
            <w:noProof/>
            <w:sz w:val="28"/>
            <w:szCs w:val="28"/>
          </w:rPr>
          <w:fldChar w:fldCharType="begin"/>
        </w:r>
        <w:r w:rsidR="003B0E9C" w:rsidRPr="003B0E9C">
          <w:rPr>
            <w:rFonts w:asciiTheme="minorEastAsia" w:eastAsiaTheme="minorEastAsia" w:hAnsiTheme="minorEastAsia"/>
            <w:noProof/>
            <w:sz w:val="28"/>
            <w:szCs w:val="28"/>
          </w:rPr>
          <w:instrText xml:space="preserve"> PAGEREF _Toc452542542 \h </w:instrText>
        </w:r>
        <w:r w:rsidR="003B0E9C" w:rsidRPr="003B0E9C">
          <w:rPr>
            <w:rFonts w:asciiTheme="minorEastAsia" w:eastAsiaTheme="minorEastAsia" w:hAnsiTheme="minorEastAsia"/>
            <w:noProof/>
            <w:sz w:val="28"/>
            <w:szCs w:val="28"/>
          </w:rPr>
        </w:r>
        <w:r w:rsidR="003B0E9C" w:rsidRPr="003B0E9C">
          <w:rPr>
            <w:rFonts w:asciiTheme="minorEastAsia" w:eastAsiaTheme="minorEastAsia" w:hAnsiTheme="minorEastAsia"/>
            <w:noProof/>
            <w:sz w:val="28"/>
            <w:szCs w:val="28"/>
          </w:rPr>
          <w:fldChar w:fldCharType="separate"/>
        </w:r>
        <w:r w:rsidR="0006671D">
          <w:rPr>
            <w:rFonts w:asciiTheme="minorEastAsia" w:eastAsiaTheme="minorEastAsia" w:hAnsiTheme="minorEastAsia"/>
            <w:noProof/>
            <w:sz w:val="28"/>
            <w:szCs w:val="28"/>
          </w:rPr>
          <w:t>10</w:t>
        </w:r>
        <w:r w:rsidR="003B0E9C" w:rsidRPr="003B0E9C">
          <w:rPr>
            <w:rFonts w:asciiTheme="minorEastAsia" w:eastAsiaTheme="minorEastAsia" w:hAnsiTheme="minorEastAsia"/>
            <w:noProof/>
            <w:sz w:val="28"/>
            <w:szCs w:val="28"/>
          </w:rPr>
          <w:fldChar w:fldCharType="end"/>
        </w:r>
      </w:hyperlink>
    </w:p>
    <w:p w:rsidR="003B0E9C" w:rsidRPr="003B0E9C" w:rsidRDefault="00937724">
      <w:pPr>
        <w:pStyle w:val="10"/>
        <w:tabs>
          <w:tab w:val="left" w:pos="420"/>
          <w:tab w:val="right" w:leader="dot" w:pos="8296"/>
        </w:tabs>
        <w:rPr>
          <w:rFonts w:asciiTheme="minorEastAsia" w:eastAsiaTheme="minorEastAsia" w:hAnsiTheme="minorEastAsia" w:cstheme="minorBidi"/>
          <w:noProof/>
          <w:sz w:val="28"/>
          <w:szCs w:val="28"/>
        </w:rPr>
      </w:pPr>
      <w:hyperlink w:anchor="_Toc452542543" w:history="1">
        <w:r w:rsidR="003B0E9C" w:rsidRPr="003B0E9C">
          <w:rPr>
            <w:rStyle w:val="a9"/>
            <w:rFonts w:asciiTheme="minorEastAsia" w:eastAsiaTheme="minorEastAsia" w:hAnsiTheme="minorEastAsia"/>
            <w:noProof/>
            <w:sz w:val="28"/>
            <w:szCs w:val="28"/>
          </w:rPr>
          <w:t>6</w:t>
        </w:r>
        <w:r w:rsidR="003B0E9C" w:rsidRPr="003B0E9C">
          <w:rPr>
            <w:rFonts w:asciiTheme="minorEastAsia" w:eastAsiaTheme="minorEastAsia" w:hAnsiTheme="minorEastAsia" w:cstheme="minorBidi"/>
            <w:noProof/>
            <w:sz w:val="28"/>
            <w:szCs w:val="28"/>
          </w:rPr>
          <w:tab/>
        </w:r>
        <w:r w:rsidR="003B0E9C" w:rsidRPr="003B0E9C">
          <w:rPr>
            <w:rStyle w:val="a9"/>
            <w:rFonts w:asciiTheme="minorEastAsia" w:eastAsiaTheme="minorEastAsia" w:hAnsiTheme="minorEastAsia" w:hint="eastAsia"/>
            <w:noProof/>
            <w:sz w:val="28"/>
            <w:szCs w:val="28"/>
          </w:rPr>
          <w:t>标准预期的社会经济效益</w:t>
        </w:r>
        <w:r w:rsidR="003B0E9C" w:rsidRPr="003B0E9C">
          <w:rPr>
            <w:rFonts w:asciiTheme="minorEastAsia" w:eastAsiaTheme="minorEastAsia" w:hAnsiTheme="minorEastAsia"/>
            <w:noProof/>
            <w:sz w:val="28"/>
            <w:szCs w:val="28"/>
          </w:rPr>
          <w:tab/>
        </w:r>
        <w:r w:rsidR="003B0E9C" w:rsidRPr="003B0E9C">
          <w:rPr>
            <w:rFonts w:asciiTheme="minorEastAsia" w:eastAsiaTheme="minorEastAsia" w:hAnsiTheme="minorEastAsia"/>
            <w:noProof/>
            <w:sz w:val="28"/>
            <w:szCs w:val="28"/>
          </w:rPr>
          <w:fldChar w:fldCharType="begin"/>
        </w:r>
        <w:r w:rsidR="003B0E9C" w:rsidRPr="003B0E9C">
          <w:rPr>
            <w:rFonts w:asciiTheme="minorEastAsia" w:eastAsiaTheme="minorEastAsia" w:hAnsiTheme="minorEastAsia"/>
            <w:noProof/>
            <w:sz w:val="28"/>
            <w:szCs w:val="28"/>
          </w:rPr>
          <w:instrText xml:space="preserve"> PAGEREF _Toc452542543 \h </w:instrText>
        </w:r>
        <w:r w:rsidR="003B0E9C" w:rsidRPr="003B0E9C">
          <w:rPr>
            <w:rFonts w:asciiTheme="minorEastAsia" w:eastAsiaTheme="minorEastAsia" w:hAnsiTheme="minorEastAsia"/>
            <w:noProof/>
            <w:sz w:val="28"/>
            <w:szCs w:val="28"/>
          </w:rPr>
        </w:r>
        <w:r w:rsidR="003B0E9C" w:rsidRPr="003B0E9C">
          <w:rPr>
            <w:rFonts w:asciiTheme="minorEastAsia" w:eastAsiaTheme="minorEastAsia" w:hAnsiTheme="minorEastAsia"/>
            <w:noProof/>
            <w:sz w:val="28"/>
            <w:szCs w:val="28"/>
          </w:rPr>
          <w:fldChar w:fldCharType="separate"/>
        </w:r>
        <w:r w:rsidR="0006671D">
          <w:rPr>
            <w:rFonts w:asciiTheme="minorEastAsia" w:eastAsiaTheme="minorEastAsia" w:hAnsiTheme="minorEastAsia"/>
            <w:noProof/>
            <w:sz w:val="28"/>
            <w:szCs w:val="28"/>
          </w:rPr>
          <w:t>10</w:t>
        </w:r>
        <w:r w:rsidR="003B0E9C" w:rsidRPr="003B0E9C">
          <w:rPr>
            <w:rFonts w:asciiTheme="minorEastAsia" w:eastAsiaTheme="minorEastAsia" w:hAnsiTheme="minorEastAsia"/>
            <w:noProof/>
            <w:sz w:val="28"/>
            <w:szCs w:val="28"/>
          </w:rPr>
          <w:fldChar w:fldCharType="end"/>
        </w:r>
      </w:hyperlink>
    </w:p>
    <w:p w:rsidR="003B0E9C" w:rsidRPr="003B0E9C" w:rsidRDefault="00937724">
      <w:pPr>
        <w:pStyle w:val="10"/>
        <w:tabs>
          <w:tab w:val="left" w:pos="420"/>
          <w:tab w:val="right" w:leader="dot" w:pos="8296"/>
        </w:tabs>
        <w:rPr>
          <w:rFonts w:asciiTheme="minorEastAsia" w:eastAsiaTheme="minorEastAsia" w:hAnsiTheme="minorEastAsia" w:cstheme="minorBidi"/>
          <w:noProof/>
          <w:sz w:val="28"/>
          <w:szCs w:val="28"/>
        </w:rPr>
      </w:pPr>
      <w:hyperlink w:anchor="_Toc452542544" w:history="1">
        <w:r w:rsidR="003B0E9C" w:rsidRPr="003B0E9C">
          <w:rPr>
            <w:rStyle w:val="a9"/>
            <w:rFonts w:asciiTheme="minorEastAsia" w:eastAsiaTheme="minorEastAsia" w:hAnsiTheme="minorEastAsia"/>
            <w:noProof/>
            <w:sz w:val="28"/>
            <w:szCs w:val="28"/>
          </w:rPr>
          <w:t>7</w:t>
        </w:r>
        <w:r w:rsidR="003B0E9C" w:rsidRPr="003B0E9C">
          <w:rPr>
            <w:rFonts w:asciiTheme="minorEastAsia" w:eastAsiaTheme="minorEastAsia" w:hAnsiTheme="minorEastAsia" w:cstheme="minorBidi"/>
            <w:noProof/>
            <w:sz w:val="28"/>
            <w:szCs w:val="28"/>
          </w:rPr>
          <w:tab/>
        </w:r>
        <w:r w:rsidR="003B0E9C" w:rsidRPr="003B0E9C">
          <w:rPr>
            <w:rStyle w:val="a9"/>
            <w:rFonts w:asciiTheme="minorEastAsia" w:eastAsiaTheme="minorEastAsia" w:hAnsiTheme="minorEastAsia" w:hint="eastAsia"/>
            <w:noProof/>
            <w:sz w:val="28"/>
            <w:szCs w:val="28"/>
          </w:rPr>
          <w:t>贯彻实施本标准的措施、建议</w:t>
        </w:r>
        <w:r w:rsidR="003B0E9C" w:rsidRPr="003B0E9C">
          <w:rPr>
            <w:rFonts w:asciiTheme="minorEastAsia" w:eastAsiaTheme="minorEastAsia" w:hAnsiTheme="minorEastAsia"/>
            <w:noProof/>
            <w:sz w:val="28"/>
            <w:szCs w:val="28"/>
          </w:rPr>
          <w:tab/>
        </w:r>
        <w:r w:rsidR="003B0E9C" w:rsidRPr="003B0E9C">
          <w:rPr>
            <w:rFonts w:asciiTheme="minorEastAsia" w:eastAsiaTheme="minorEastAsia" w:hAnsiTheme="minorEastAsia"/>
            <w:noProof/>
            <w:sz w:val="28"/>
            <w:szCs w:val="28"/>
          </w:rPr>
          <w:fldChar w:fldCharType="begin"/>
        </w:r>
        <w:r w:rsidR="003B0E9C" w:rsidRPr="003B0E9C">
          <w:rPr>
            <w:rFonts w:asciiTheme="minorEastAsia" w:eastAsiaTheme="minorEastAsia" w:hAnsiTheme="minorEastAsia"/>
            <w:noProof/>
            <w:sz w:val="28"/>
            <w:szCs w:val="28"/>
          </w:rPr>
          <w:instrText xml:space="preserve"> PAGEREF _Toc452542544 \h </w:instrText>
        </w:r>
        <w:r w:rsidR="003B0E9C" w:rsidRPr="003B0E9C">
          <w:rPr>
            <w:rFonts w:asciiTheme="minorEastAsia" w:eastAsiaTheme="minorEastAsia" w:hAnsiTheme="minorEastAsia"/>
            <w:noProof/>
            <w:sz w:val="28"/>
            <w:szCs w:val="28"/>
          </w:rPr>
        </w:r>
        <w:r w:rsidR="003B0E9C" w:rsidRPr="003B0E9C">
          <w:rPr>
            <w:rFonts w:asciiTheme="minorEastAsia" w:eastAsiaTheme="minorEastAsia" w:hAnsiTheme="minorEastAsia"/>
            <w:noProof/>
            <w:sz w:val="28"/>
            <w:szCs w:val="28"/>
          </w:rPr>
          <w:fldChar w:fldCharType="separate"/>
        </w:r>
        <w:r w:rsidR="0006671D">
          <w:rPr>
            <w:rFonts w:asciiTheme="minorEastAsia" w:eastAsiaTheme="minorEastAsia" w:hAnsiTheme="minorEastAsia"/>
            <w:noProof/>
            <w:sz w:val="28"/>
            <w:szCs w:val="28"/>
          </w:rPr>
          <w:t>11</w:t>
        </w:r>
        <w:r w:rsidR="003B0E9C" w:rsidRPr="003B0E9C">
          <w:rPr>
            <w:rFonts w:asciiTheme="minorEastAsia" w:eastAsiaTheme="minorEastAsia" w:hAnsiTheme="minorEastAsia"/>
            <w:noProof/>
            <w:sz w:val="28"/>
            <w:szCs w:val="28"/>
          </w:rPr>
          <w:fldChar w:fldCharType="end"/>
        </w:r>
      </w:hyperlink>
    </w:p>
    <w:p w:rsidR="003B0E9C" w:rsidRPr="003B0E9C" w:rsidRDefault="00937724">
      <w:pPr>
        <w:pStyle w:val="10"/>
        <w:tabs>
          <w:tab w:val="left" w:pos="420"/>
          <w:tab w:val="right" w:leader="dot" w:pos="8296"/>
        </w:tabs>
        <w:rPr>
          <w:rFonts w:asciiTheme="minorEastAsia" w:eastAsiaTheme="minorEastAsia" w:hAnsiTheme="minorEastAsia" w:cstheme="minorBidi"/>
          <w:noProof/>
          <w:sz w:val="28"/>
          <w:szCs w:val="28"/>
        </w:rPr>
      </w:pPr>
      <w:hyperlink w:anchor="_Toc452542545" w:history="1">
        <w:r w:rsidR="003B0E9C" w:rsidRPr="003B0E9C">
          <w:rPr>
            <w:rStyle w:val="a9"/>
            <w:rFonts w:asciiTheme="minorEastAsia" w:eastAsiaTheme="minorEastAsia" w:hAnsiTheme="minorEastAsia"/>
            <w:noProof/>
            <w:sz w:val="28"/>
            <w:szCs w:val="28"/>
          </w:rPr>
          <w:t>8</w:t>
        </w:r>
        <w:r w:rsidR="003B0E9C" w:rsidRPr="003B0E9C">
          <w:rPr>
            <w:rFonts w:asciiTheme="minorEastAsia" w:eastAsiaTheme="minorEastAsia" w:hAnsiTheme="minorEastAsia" w:cstheme="minorBidi"/>
            <w:noProof/>
            <w:sz w:val="28"/>
            <w:szCs w:val="28"/>
          </w:rPr>
          <w:tab/>
        </w:r>
        <w:r w:rsidR="003B0E9C" w:rsidRPr="003B0E9C">
          <w:rPr>
            <w:rStyle w:val="a9"/>
            <w:rFonts w:asciiTheme="minorEastAsia" w:eastAsiaTheme="minorEastAsia" w:hAnsiTheme="minorEastAsia" w:hint="eastAsia"/>
            <w:noProof/>
            <w:sz w:val="28"/>
            <w:szCs w:val="28"/>
          </w:rPr>
          <w:t>废止现行有关标准的建议</w:t>
        </w:r>
        <w:r w:rsidR="003B0E9C" w:rsidRPr="003B0E9C">
          <w:rPr>
            <w:rFonts w:asciiTheme="minorEastAsia" w:eastAsiaTheme="minorEastAsia" w:hAnsiTheme="minorEastAsia"/>
            <w:noProof/>
            <w:sz w:val="28"/>
            <w:szCs w:val="28"/>
          </w:rPr>
          <w:tab/>
        </w:r>
        <w:r w:rsidR="003B0E9C" w:rsidRPr="003B0E9C">
          <w:rPr>
            <w:rFonts w:asciiTheme="minorEastAsia" w:eastAsiaTheme="minorEastAsia" w:hAnsiTheme="minorEastAsia"/>
            <w:noProof/>
            <w:sz w:val="28"/>
            <w:szCs w:val="28"/>
          </w:rPr>
          <w:fldChar w:fldCharType="begin"/>
        </w:r>
        <w:r w:rsidR="003B0E9C" w:rsidRPr="003B0E9C">
          <w:rPr>
            <w:rFonts w:asciiTheme="minorEastAsia" w:eastAsiaTheme="minorEastAsia" w:hAnsiTheme="minorEastAsia"/>
            <w:noProof/>
            <w:sz w:val="28"/>
            <w:szCs w:val="28"/>
          </w:rPr>
          <w:instrText xml:space="preserve"> PAGEREF _Toc452542545 \h </w:instrText>
        </w:r>
        <w:r w:rsidR="003B0E9C" w:rsidRPr="003B0E9C">
          <w:rPr>
            <w:rFonts w:asciiTheme="minorEastAsia" w:eastAsiaTheme="minorEastAsia" w:hAnsiTheme="minorEastAsia"/>
            <w:noProof/>
            <w:sz w:val="28"/>
            <w:szCs w:val="28"/>
          </w:rPr>
        </w:r>
        <w:r w:rsidR="003B0E9C" w:rsidRPr="003B0E9C">
          <w:rPr>
            <w:rFonts w:asciiTheme="minorEastAsia" w:eastAsiaTheme="minorEastAsia" w:hAnsiTheme="minorEastAsia"/>
            <w:noProof/>
            <w:sz w:val="28"/>
            <w:szCs w:val="28"/>
          </w:rPr>
          <w:fldChar w:fldCharType="separate"/>
        </w:r>
        <w:r w:rsidR="0006671D">
          <w:rPr>
            <w:rFonts w:asciiTheme="minorEastAsia" w:eastAsiaTheme="minorEastAsia" w:hAnsiTheme="minorEastAsia"/>
            <w:noProof/>
            <w:sz w:val="28"/>
            <w:szCs w:val="28"/>
          </w:rPr>
          <w:t>11</w:t>
        </w:r>
        <w:r w:rsidR="003B0E9C" w:rsidRPr="003B0E9C">
          <w:rPr>
            <w:rFonts w:asciiTheme="minorEastAsia" w:eastAsiaTheme="minorEastAsia" w:hAnsiTheme="minorEastAsia"/>
            <w:noProof/>
            <w:sz w:val="28"/>
            <w:szCs w:val="28"/>
          </w:rPr>
          <w:fldChar w:fldCharType="end"/>
        </w:r>
      </w:hyperlink>
    </w:p>
    <w:p w:rsidR="00420ED3" w:rsidRDefault="00420ED3" w:rsidP="00420ED3">
      <w:pPr>
        <w:adjustRightInd w:val="0"/>
        <w:jc w:val="center"/>
        <w:textAlignment w:val="center"/>
        <w:rPr>
          <w:rFonts w:ascii="Arial" w:eastAsia="黑体" w:hAnsi="Arial" w:cs="Arial"/>
          <w:kern w:val="0"/>
          <w:sz w:val="28"/>
          <w:szCs w:val="28"/>
        </w:rPr>
      </w:pPr>
      <w:r w:rsidRPr="003B0E9C">
        <w:rPr>
          <w:rFonts w:asciiTheme="minorEastAsia" w:hAnsiTheme="minorEastAsia" w:cs="仿宋_GB2312" w:hint="eastAsia"/>
          <w:kern w:val="0"/>
          <w:sz w:val="28"/>
          <w:szCs w:val="28"/>
        </w:rPr>
        <w:fldChar w:fldCharType="end"/>
      </w:r>
    </w:p>
    <w:p w:rsidR="00420ED3" w:rsidRDefault="00420ED3" w:rsidP="00420ED3">
      <w:pPr>
        <w:adjustRightInd w:val="0"/>
        <w:jc w:val="center"/>
        <w:textAlignment w:val="center"/>
        <w:rPr>
          <w:rFonts w:ascii="Arial" w:eastAsia="黑体" w:hAnsi="Arial" w:cs="Arial"/>
          <w:kern w:val="0"/>
          <w:sz w:val="28"/>
          <w:szCs w:val="28"/>
        </w:rPr>
      </w:pPr>
    </w:p>
    <w:p w:rsidR="00420ED3" w:rsidRDefault="00420ED3" w:rsidP="00420ED3">
      <w:pPr>
        <w:adjustRightInd w:val="0"/>
        <w:jc w:val="center"/>
        <w:textAlignment w:val="center"/>
        <w:rPr>
          <w:rFonts w:ascii="Arial" w:eastAsia="黑体" w:hAnsi="Arial" w:cs="Arial"/>
          <w:kern w:val="0"/>
          <w:sz w:val="28"/>
          <w:szCs w:val="28"/>
        </w:rPr>
      </w:pPr>
    </w:p>
    <w:p w:rsidR="00420ED3" w:rsidRDefault="00420ED3" w:rsidP="00420ED3">
      <w:pPr>
        <w:adjustRightInd w:val="0"/>
        <w:jc w:val="center"/>
        <w:textAlignment w:val="center"/>
        <w:rPr>
          <w:rFonts w:ascii="Arial" w:eastAsia="黑体" w:hAnsi="Arial" w:cs="Arial"/>
          <w:kern w:val="0"/>
          <w:sz w:val="28"/>
          <w:szCs w:val="28"/>
        </w:rPr>
      </w:pPr>
    </w:p>
    <w:p w:rsidR="00420ED3" w:rsidRDefault="00420ED3" w:rsidP="00420ED3">
      <w:pPr>
        <w:adjustRightInd w:val="0"/>
        <w:jc w:val="center"/>
        <w:textAlignment w:val="center"/>
        <w:rPr>
          <w:rFonts w:ascii="Arial" w:eastAsia="黑体" w:hAnsi="Arial" w:cs="Arial"/>
          <w:kern w:val="0"/>
          <w:sz w:val="28"/>
          <w:szCs w:val="28"/>
        </w:rPr>
      </w:pPr>
    </w:p>
    <w:p w:rsidR="00420ED3" w:rsidRDefault="00420ED3" w:rsidP="00420ED3">
      <w:pPr>
        <w:adjustRightInd w:val="0"/>
        <w:jc w:val="center"/>
        <w:textAlignment w:val="center"/>
        <w:rPr>
          <w:rFonts w:ascii="Arial" w:eastAsia="黑体" w:hAnsi="Arial" w:cs="Arial"/>
          <w:kern w:val="0"/>
          <w:sz w:val="28"/>
          <w:szCs w:val="28"/>
        </w:rPr>
      </w:pPr>
    </w:p>
    <w:p w:rsidR="00420ED3" w:rsidRDefault="00420ED3" w:rsidP="00420ED3">
      <w:pPr>
        <w:adjustRightInd w:val="0"/>
        <w:jc w:val="center"/>
        <w:textAlignment w:val="center"/>
        <w:rPr>
          <w:rFonts w:ascii="Arial" w:eastAsia="黑体" w:hAnsi="Arial" w:cs="Arial"/>
          <w:kern w:val="0"/>
          <w:sz w:val="28"/>
          <w:szCs w:val="28"/>
        </w:rPr>
      </w:pPr>
    </w:p>
    <w:p w:rsidR="00420ED3" w:rsidRDefault="00420ED3" w:rsidP="00420ED3">
      <w:pPr>
        <w:adjustRightInd w:val="0"/>
        <w:jc w:val="center"/>
        <w:textAlignment w:val="center"/>
        <w:rPr>
          <w:rFonts w:ascii="Arial" w:eastAsia="黑体" w:hAnsi="Arial" w:cs="Arial"/>
          <w:kern w:val="0"/>
          <w:sz w:val="28"/>
          <w:szCs w:val="28"/>
        </w:rPr>
      </w:pPr>
    </w:p>
    <w:p w:rsidR="00420ED3" w:rsidRDefault="00420ED3" w:rsidP="00420ED3">
      <w:pPr>
        <w:adjustRightInd w:val="0"/>
        <w:jc w:val="center"/>
        <w:textAlignment w:val="center"/>
        <w:rPr>
          <w:rFonts w:ascii="Arial" w:eastAsia="黑体" w:hAnsi="Arial" w:cs="Arial"/>
          <w:kern w:val="0"/>
          <w:sz w:val="28"/>
          <w:szCs w:val="28"/>
        </w:rPr>
      </w:pPr>
    </w:p>
    <w:p w:rsidR="00420ED3" w:rsidRDefault="00420ED3" w:rsidP="00420ED3">
      <w:pPr>
        <w:adjustRightInd w:val="0"/>
        <w:jc w:val="center"/>
        <w:textAlignment w:val="center"/>
        <w:rPr>
          <w:rFonts w:ascii="Arial" w:eastAsia="黑体" w:hAnsi="Arial" w:cs="Arial"/>
          <w:kern w:val="0"/>
          <w:sz w:val="28"/>
          <w:szCs w:val="28"/>
        </w:rPr>
      </w:pPr>
    </w:p>
    <w:p w:rsidR="00420ED3" w:rsidRDefault="00420ED3" w:rsidP="00420ED3">
      <w:pPr>
        <w:adjustRightInd w:val="0"/>
        <w:textAlignment w:val="center"/>
        <w:rPr>
          <w:rFonts w:ascii="Arial" w:eastAsia="黑体" w:hAnsi="Arial" w:cs="Arial"/>
          <w:kern w:val="0"/>
          <w:sz w:val="28"/>
          <w:szCs w:val="28"/>
        </w:rPr>
      </w:pPr>
    </w:p>
    <w:p w:rsidR="00420ED3" w:rsidRDefault="00420ED3" w:rsidP="00420ED3">
      <w:pPr>
        <w:pStyle w:val="1"/>
        <w:snapToGrid w:val="0"/>
        <w:spacing w:before="0" w:after="0" w:line="580" w:lineRule="exact"/>
      </w:pPr>
      <w:bookmarkStart w:id="0" w:name="_Toc452542538"/>
      <w:r>
        <w:rPr>
          <w:rFonts w:hint="eastAsia"/>
        </w:rPr>
        <w:lastRenderedPageBreak/>
        <w:t>项目背景</w:t>
      </w:r>
      <w:bookmarkEnd w:id="0"/>
    </w:p>
    <w:p w:rsidR="00420ED3" w:rsidRDefault="00420ED3" w:rsidP="00420ED3">
      <w:pPr>
        <w:pStyle w:val="11"/>
        <w:ind w:firstLineChars="150"/>
        <w:rPr>
          <w:rFonts w:ascii="仿宋_GB2312" w:eastAsia="仿宋_GB2312" w:hAnsi="华文仿宋"/>
          <w:sz w:val="28"/>
          <w:szCs w:val="28"/>
        </w:rPr>
      </w:pPr>
      <w:r>
        <w:rPr>
          <w:rFonts w:ascii="仿宋_GB2312" w:eastAsia="仿宋_GB2312" w:hAnsi="华文仿宋" w:hint="eastAsia"/>
          <w:sz w:val="28"/>
          <w:szCs w:val="28"/>
        </w:rPr>
        <w:t>为加快推进我省</w:t>
      </w:r>
      <w:proofErr w:type="gramStart"/>
      <w:r>
        <w:rPr>
          <w:rFonts w:ascii="仿宋_GB2312" w:eastAsia="仿宋_GB2312" w:hAnsi="华文仿宋" w:hint="eastAsia"/>
          <w:sz w:val="28"/>
          <w:szCs w:val="28"/>
        </w:rPr>
        <w:t>行政机</w:t>
      </w:r>
      <w:proofErr w:type="gramEnd"/>
      <w:r>
        <w:rPr>
          <w:rFonts w:ascii="仿宋_GB2312" w:eastAsia="仿宋_GB2312" w:hAnsi="华文仿宋" w:hint="eastAsia"/>
          <w:sz w:val="28"/>
          <w:szCs w:val="28"/>
        </w:rPr>
        <w:t>等公共机构节能降耗工作，</w:t>
      </w:r>
      <w:r w:rsidR="003C5080">
        <w:rPr>
          <w:rFonts w:ascii="仿宋_GB2312" w:eastAsia="仿宋_GB2312" w:hAnsi="华文仿宋" w:hint="eastAsia"/>
          <w:sz w:val="28"/>
          <w:szCs w:val="28"/>
        </w:rPr>
        <w:t>建设绿色湖南</w:t>
      </w:r>
      <w:r>
        <w:rPr>
          <w:rFonts w:ascii="仿宋_GB2312" w:eastAsia="仿宋_GB2312" w:hAnsi="华文仿宋" w:hint="eastAsia"/>
          <w:sz w:val="28"/>
          <w:szCs w:val="28"/>
        </w:rPr>
        <w:t>，我省在2011年2月15日发布了湖南省地方标准DB43/T 613-2011《行政机关综合能耗、综合电耗定额及计算方法》。该标准规定了机关综合能耗、电耗的定额、统计范围、计量管理和计算方法。该标准的制定、实施，弥补了当时我省行政机关能耗管理标准缺失、监测缺位的不足的问题。按当时行政机关能耗状况，根据DB43/T 613-2011的定额指标，行政机关达标率在54.5%至86.6%之间，有效引导了行政机关合理确定用能需求，通过创新管理促进节能降耗。但随着时间的推移，经过4年的发展，原有标准能耗定额已变得过于宽松。特别是相关行政机关的定额指标乘以修正系数后，绝大部分都能达标，对进一步促进节能降耗作用不明显。为此，2014年，湖南省发展与改革委员会提出要重新修订我省行政机关能耗定额标准，期望通过标准的修订，进一步提升节能降耗的水平，</w:t>
      </w:r>
      <w:r w:rsidR="003C5080">
        <w:rPr>
          <w:rFonts w:ascii="仿宋_GB2312" w:eastAsia="仿宋_GB2312" w:hAnsi="华文仿宋" w:hint="eastAsia"/>
          <w:sz w:val="28"/>
          <w:szCs w:val="28"/>
        </w:rPr>
        <w:t>引导公共机构节能，</w:t>
      </w:r>
      <w:r>
        <w:rPr>
          <w:rFonts w:ascii="仿宋_GB2312" w:eastAsia="仿宋_GB2312" w:hAnsi="华文仿宋" w:hint="eastAsia"/>
          <w:sz w:val="28"/>
          <w:szCs w:val="28"/>
        </w:rPr>
        <w:t>增强可持续发展能力。</w:t>
      </w:r>
    </w:p>
    <w:p w:rsidR="00420ED3" w:rsidRDefault="00420ED3" w:rsidP="00420ED3">
      <w:pPr>
        <w:pStyle w:val="1"/>
        <w:snapToGrid w:val="0"/>
        <w:spacing w:before="0" w:after="0" w:line="580" w:lineRule="exact"/>
      </w:pPr>
      <w:bookmarkStart w:id="1" w:name="_Toc452542539"/>
      <w:r>
        <w:rPr>
          <w:rFonts w:hint="eastAsia"/>
        </w:rPr>
        <w:t>工作简况</w:t>
      </w:r>
      <w:bookmarkEnd w:id="1"/>
    </w:p>
    <w:p w:rsidR="00420ED3" w:rsidRDefault="00420ED3" w:rsidP="00420ED3">
      <w:pPr>
        <w:adjustRightInd w:val="0"/>
        <w:snapToGrid w:val="0"/>
        <w:spacing w:line="580" w:lineRule="exact"/>
        <w:ind w:firstLineChars="200" w:firstLine="560"/>
        <w:rPr>
          <w:rFonts w:ascii="黑体" w:eastAsia="黑体" w:hAnsi="华文仿宋"/>
          <w:sz w:val="28"/>
          <w:szCs w:val="28"/>
        </w:rPr>
      </w:pPr>
      <w:r>
        <w:rPr>
          <w:rFonts w:ascii="黑体" w:eastAsia="黑体" w:hAnsi="华文仿宋" w:hint="eastAsia"/>
          <w:sz w:val="28"/>
          <w:szCs w:val="28"/>
        </w:rPr>
        <w:t>2.1 立项阶段</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2014年6月，本标准修订任务由省标准化行政管理部门正式立项。随后，2015年10月，标准起草编制小组成立。2015年12月，经广泛咨询、征求意见，拟定了本次标准修订的技术路线、工作方案。</w:t>
      </w:r>
    </w:p>
    <w:p w:rsidR="00420ED3" w:rsidRDefault="00420ED3" w:rsidP="00420ED3">
      <w:pPr>
        <w:adjustRightInd w:val="0"/>
        <w:snapToGrid w:val="0"/>
        <w:spacing w:line="580" w:lineRule="exact"/>
        <w:ind w:firstLineChars="200" w:firstLine="560"/>
        <w:rPr>
          <w:rFonts w:ascii="黑体" w:eastAsia="黑体" w:hAnsi="华文仿宋"/>
          <w:sz w:val="28"/>
          <w:szCs w:val="28"/>
        </w:rPr>
      </w:pPr>
      <w:r>
        <w:rPr>
          <w:rFonts w:ascii="黑体" w:eastAsia="黑体" w:hAnsi="华文仿宋" w:hint="eastAsia"/>
          <w:sz w:val="28"/>
          <w:szCs w:val="28"/>
        </w:rPr>
        <w:t>2.2调查研究阶段</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本调研主要分两部分进行。</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一是调研了解国家及省内外节能减排的各项政策措施和法律法</w:t>
      </w:r>
      <w:r>
        <w:rPr>
          <w:rFonts w:ascii="仿宋_GB2312" w:eastAsia="仿宋_GB2312" w:hAnsi="华文仿宋" w:hint="eastAsia"/>
          <w:sz w:val="28"/>
          <w:szCs w:val="28"/>
        </w:rPr>
        <w:lastRenderedPageBreak/>
        <w:t>规，节能领域有关国家标准以及先进省市地方标准的制修订情况。调研收集的资料中，作为本标准的主要编制依据有：</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《中华人民共和国节约能源法》</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国务院《公共机构节能条例》</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GB/T 1.1-2009《标准化工作导则 第1部分：标准的结构和编写》</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GB/T 2589《综合能耗计算通则》</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GB/T 29149 -2012《公共机构能源资源计量器具配备和管理要求》</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作为本标准的主要参考文献有：</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浙江省地方标准DB33/T-2009 《行政机关单位综合能耗、综合电耗定额及计算方法》</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江苏省地方标准DB32/2663-2014 《行政机关单位综合能耗限额及计算方法》</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二是通过调查统计，掌握省内行政机关能耗现状。</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2015年11月，起草了本次行政机关能耗数据采集方案。2015年11月10日，由湖南省发展和改革委员会、湖南省机关事务管理局、湖南省质量技术监督局联合下发《关于开展行政机关能耗数据采集的通知》，开始进行数据采集。本次采集以书面采集为主，通讯</w:t>
      </w:r>
      <w:r w:rsidR="003C5080">
        <w:rPr>
          <w:rFonts w:ascii="仿宋_GB2312" w:eastAsia="仿宋_GB2312" w:hAnsi="华文仿宋" w:hint="eastAsia"/>
          <w:sz w:val="28"/>
          <w:szCs w:val="28"/>
        </w:rPr>
        <w:t>及现场</w:t>
      </w:r>
      <w:r>
        <w:rPr>
          <w:rFonts w:ascii="仿宋_GB2312" w:eastAsia="仿宋_GB2312" w:hAnsi="华文仿宋" w:hint="eastAsia"/>
          <w:sz w:val="28"/>
          <w:szCs w:val="28"/>
        </w:rPr>
        <w:t>核实为辅。数据采集对象为省内部</w:t>
      </w:r>
      <w:proofErr w:type="gramStart"/>
      <w:r>
        <w:rPr>
          <w:rFonts w:ascii="仿宋_GB2312" w:eastAsia="仿宋_GB2312" w:hAnsi="华文仿宋" w:hint="eastAsia"/>
          <w:sz w:val="28"/>
          <w:szCs w:val="28"/>
        </w:rPr>
        <w:t>分行政</w:t>
      </w:r>
      <w:proofErr w:type="gramEnd"/>
      <w:r>
        <w:rPr>
          <w:rFonts w:ascii="仿宋_GB2312" w:eastAsia="仿宋_GB2312" w:hAnsi="华文仿宋" w:hint="eastAsia"/>
          <w:sz w:val="28"/>
          <w:szCs w:val="28"/>
        </w:rPr>
        <w:t>机关单位，涵盖省、市、县三级。采集表的发放、填写、报送、核实、整理工作持续</w:t>
      </w:r>
      <w:r w:rsidR="003C5080">
        <w:rPr>
          <w:rFonts w:ascii="仿宋_GB2312" w:eastAsia="仿宋_GB2312" w:hAnsi="华文仿宋" w:hint="eastAsia"/>
          <w:sz w:val="28"/>
          <w:szCs w:val="28"/>
        </w:rPr>
        <w:t>五</w:t>
      </w:r>
      <w:r>
        <w:rPr>
          <w:rFonts w:ascii="仿宋_GB2312" w:eastAsia="仿宋_GB2312" w:hAnsi="华文仿宋" w:hint="eastAsia"/>
          <w:sz w:val="28"/>
          <w:szCs w:val="28"/>
        </w:rPr>
        <w:t>个月，计划采集244家单位数据，回收195家单位数据。</w:t>
      </w:r>
    </w:p>
    <w:p w:rsidR="00420ED3" w:rsidRPr="00486DFE" w:rsidRDefault="00420ED3" w:rsidP="00420ED3">
      <w:pPr>
        <w:adjustRightInd w:val="0"/>
        <w:snapToGrid w:val="0"/>
        <w:spacing w:line="580" w:lineRule="exact"/>
        <w:ind w:firstLineChars="200" w:firstLine="560"/>
        <w:rPr>
          <w:rFonts w:ascii="仿宋_GB2312" w:eastAsia="仿宋_GB2312" w:hAnsi="华文仿宋"/>
          <w:color w:val="FF0000"/>
          <w:sz w:val="28"/>
          <w:szCs w:val="28"/>
        </w:rPr>
      </w:pPr>
      <w:r>
        <w:rPr>
          <w:rFonts w:ascii="仿宋_GB2312" w:eastAsia="仿宋_GB2312" w:hAnsi="华文仿宋" w:hint="eastAsia"/>
          <w:sz w:val="28"/>
          <w:szCs w:val="28"/>
        </w:rPr>
        <w:t>经初步筛选，采集回收的数据表分类如下：一是部分单位提供的用电量和新水用量数据不准确；二是某些单位某年度数据完善，部分年度数据缺失。根据上述情况，编制组对第二种情况的数据均不予采用，对第一种情况的数据，通过</w:t>
      </w:r>
      <w:r w:rsidR="003C5080">
        <w:rPr>
          <w:rFonts w:ascii="仿宋_GB2312" w:eastAsia="仿宋_GB2312" w:hAnsi="华文仿宋" w:hint="eastAsia"/>
          <w:sz w:val="28"/>
          <w:szCs w:val="28"/>
        </w:rPr>
        <w:t>进一步</w:t>
      </w:r>
      <w:r>
        <w:rPr>
          <w:rFonts w:ascii="仿宋_GB2312" w:eastAsia="仿宋_GB2312" w:hAnsi="华文仿宋" w:hint="eastAsia"/>
          <w:sz w:val="28"/>
          <w:szCs w:val="28"/>
        </w:rPr>
        <w:t>核实，对数据进行了重新核对</w:t>
      </w:r>
      <w:r>
        <w:rPr>
          <w:rFonts w:ascii="仿宋_GB2312" w:eastAsia="仿宋_GB2312" w:hAnsi="华文仿宋" w:hint="eastAsia"/>
          <w:sz w:val="28"/>
          <w:szCs w:val="28"/>
        </w:rPr>
        <w:lastRenderedPageBreak/>
        <w:t>和收集，对符合要求的数据予以采用，对无法统计的数据不予采用。经过筛选、核对，最终行政机关有效数据174家，统计数据共696条。</w:t>
      </w:r>
      <w:r w:rsidRPr="00486ABD">
        <w:rPr>
          <w:rFonts w:ascii="仿宋_GB2312" w:eastAsia="仿宋_GB2312" w:hAnsi="华文仿宋" w:hint="eastAsia"/>
          <w:sz w:val="28"/>
          <w:szCs w:val="28"/>
        </w:rPr>
        <w:t>其中省级10家，市级58家，县级106家。</w:t>
      </w:r>
    </w:p>
    <w:p w:rsidR="00420ED3" w:rsidRDefault="00420ED3" w:rsidP="00420ED3">
      <w:pPr>
        <w:spacing w:line="580" w:lineRule="exact"/>
        <w:ind w:firstLine="573"/>
        <w:rPr>
          <w:rFonts w:ascii="仿宋_GB2312" w:eastAsia="仿宋_GB2312" w:hAnsi="华文仿宋"/>
          <w:sz w:val="28"/>
          <w:szCs w:val="28"/>
        </w:rPr>
      </w:pPr>
      <w:r>
        <w:rPr>
          <w:rFonts w:ascii="仿宋_GB2312" w:eastAsia="仿宋_GB2312" w:hAnsi="华文仿宋" w:hint="eastAsia"/>
          <w:sz w:val="28"/>
          <w:szCs w:val="28"/>
        </w:rPr>
        <w:t>在此基础上利用SAS软件进行了编程、计算和分析，分析结果作为本次标准修订的重要统计基础。</w:t>
      </w:r>
    </w:p>
    <w:p w:rsidR="00420ED3" w:rsidRDefault="00420ED3" w:rsidP="00420ED3">
      <w:pPr>
        <w:adjustRightInd w:val="0"/>
        <w:snapToGrid w:val="0"/>
        <w:spacing w:line="580" w:lineRule="exact"/>
        <w:ind w:firstLineChars="200" w:firstLine="560"/>
        <w:rPr>
          <w:rFonts w:ascii="黑体" w:eastAsia="黑体" w:hAnsi="华文仿宋"/>
          <w:sz w:val="28"/>
          <w:szCs w:val="28"/>
        </w:rPr>
      </w:pPr>
      <w:r>
        <w:rPr>
          <w:rFonts w:ascii="黑体" w:eastAsia="黑体" w:hAnsi="华文仿宋" w:hint="eastAsia"/>
          <w:sz w:val="28"/>
          <w:szCs w:val="28"/>
        </w:rPr>
        <w:t>2.3 标准草案起草阶段</w:t>
      </w:r>
    </w:p>
    <w:p w:rsidR="00420ED3" w:rsidRDefault="00420ED3" w:rsidP="00420ED3">
      <w:pPr>
        <w:spacing w:line="580" w:lineRule="exact"/>
        <w:rPr>
          <w:rFonts w:ascii="仿宋_GB2312" w:eastAsia="仿宋_GB2312" w:hAnsi="华文仿宋"/>
          <w:sz w:val="28"/>
          <w:szCs w:val="28"/>
        </w:rPr>
      </w:pPr>
      <w:r>
        <w:rPr>
          <w:rFonts w:ascii="仿宋_GB2312" w:eastAsia="仿宋_GB2312" w:hAnsi="华文仿宋" w:hint="eastAsia"/>
          <w:sz w:val="28"/>
          <w:szCs w:val="28"/>
        </w:rPr>
        <w:t xml:space="preserve">    在充分调研基础上，2015年12月，开始起草《行政机关能耗限额及计算方法》标准草案。2016年3月，湖南省质量和标准化研究院组织项目组召开了项目推进会，会议要求三个标准编制组在3月底完成数据收集和分析工作，4月底完成标准的第一稿，4月底组织了一次专家咨询会，对标准框架、主要内容及能耗数据标准进行讨论。5月上旬，根据专家意见，修改完善后形成了</w:t>
      </w:r>
      <w:r w:rsidR="003C5080">
        <w:rPr>
          <w:rFonts w:ascii="仿宋_GB2312" w:eastAsia="仿宋_GB2312" w:hAnsi="华文仿宋" w:hint="eastAsia"/>
          <w:sz w:val="28"/>
          <w:szCs w:val="28"/>
        </w:rPr>
        <w:t>本</w:t>
      </w:r>
      <w:r>
        <w:rPr>
          <w:rFonts w:ascii="仿宋_GB2312" w:eastAsia="仿宋_GB2312" w:hAnsi="华文仿宋" w:hint="eastAsia"/>
          <w:sz w:val="28"/>
          <w:szCs w:val="28"/>
        </w:rPr>
        <w:t>征求意见稿。</w:t>
      </w:r>
    </w:p>
    <w:p w:rsidR="00420ED3" w:rsidRDefault="00420ED3" w:rsidP="00420ED3">
      <w:pPr>
        <w:pStyle w:val="1"/>
        <w:snapToGrid w:val="0"/>
        <w:spacing w:before="0" w:after="0" w:line="580" w:lineRule="exact"/>
      </w:pPr>
      <w:bookmarkStart w:id="2" w:name="_Toc452542540"/>
      <w:r>
        <w:rPr>
          <w:rFonts w:hint="eastAsia"/>
        </w:rPr>
        <w:t>标准修订原则及与替代标准的主要差异情况</w:t>
      </w:r>
      <w:bookmarkEnd w:id="2"/>
    </w:p>
    <w:p w:rsidR="00420ED3" w:rsidRDefault="00420ED3" w:rsidP="00420ED3">
      <w:pPr>
        <w:adjustRightInd w:val="0"/>
        <w:snapToGrid w:val="0"/>
        <w:spacing w:line="580" w:lineRule="exact"/>
        <w:ind w:firstLineChars="200" w:firstLine="560"/>
        <w:rPr>
          <w:rFonts w:ascii="黑体" w:eastAsia="黑体" w:hAnsi="华文仿宋"/>
          <w:sz w:val="28"/>
          <w:szCs w:val="28"/>
        </w:rPr>
      </w:pPr>
      <w:r>
        <w:rPr>
          <w:rFonts w:ascii="黑体" w:eastAsia="黑体" w:hAnsi="华文仿宋" w:hint="eastAsia"/>
          <w:sz w:val="28"/>
          <w:szCs w:val="28"/>
        </w:rPr>
        <w:t>3.1 标准修订的原则</w:t>
      </w:r>
    </w:p>
    <w:p w:rsidR="00420ED3" w:rsidRDefault="00420ED3" w:rsidP="00420ED3">
      <w:pPr>
        <w:adjustRightInd w:val="0"/>
        <w:snapToGrid w:val="0"/>
        <w:spacing w:line="58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本次标准修订的原则，一是遵循有关法律、政策的要求，重点考虑我省节能减</w:t>
      </w:r>
      <w:proofErr w:type="gramStart"/>
      <w:r>
        <w:rPr>
          <w:rFonts w:ascii="仿宋_GB2312" w:eastAsia="仿宋_GB2312" w:hAnsi="华文仿宋" w:hint="eastAsia"/>
          <w:sz w:val="28"/>
          <w:szCs w:val="28"/>
        </w:rPr>
        <w:t>排工作</w:t>
      </w:r>
      <w:proofErr w:type="gramEnd"/>
      <w:r>
        <w:rPr>
          <w:rFonts w:ascii="仿宋_GB2312" w:eastAsia="仿宋_GB2312" w:hAnsi="华文仿宋" w:hint="eastAsia"/>
          <w:sz w:val="28"/>
          <w:szCs w:val="28"/>
        </w:rPr>
        <w:t>的要求。</w:t>
      </w:r>
      <w:bookmarkStart w:id="3" w:name="_Toc21352"/>
      <w:r>
        <w:rPr>
          <w:rFonts w:ascii="仿宋_GB2312" w:eastAsia="仿宋_GB2312" w:hAnsi="华文仿宋" w:hint="eastAsia"/>
          <w:sz w:val="28"/>
          <w:szCs w:val="28"/>
        </w:rPr>
        <w:t>二是</w:t>
      </w:r>
      <w:r>
        <w:rPr>
          <w:rFonts w:ascii="仿宋_GB2312" w:eastAsia="仿宋_GB2312" w:hAnsi="华文仿宋" w:hint="eastAsia"/>
          <w:bCs/>
          <w:sz w:val="28"/>
          <w:szCs w:val="28"/>
        </w:rPr>
        <w:t>科学性原则</w:t>
      </w:r>
      <w:bookmarkEnd w:id="3"/>
      <w:r>
        <w:rPr>
          <w:rFonts w:ascii="仿宋_GB2312" w:eastAsia="仿宋_GB2312" w:hAnsi="华文仿宋" w:hint="eastAsia"/>
          <w:bCs/>
          <w:sz w:val="28"/>
          <w:szCs w:val="28"/>
        </w:rPr>
        <w:t>。</w:t>
      </w:r>
      <w:r>
        <w:rPr>
          <w:rFonts w:ascii="仿宋_GB2312" w:eastAsia="仿宋_GB2312" w:hAnsi="华文仿宋" w:hint="eastAsia"/>
          <w:sz w:val="28"/>
          <w:szCs w:val="28"/>
        </w:rPr>
        <w:t>运用科学的统计、分类与计算方法，使标准的技术内容科学可靠。三是</w:t>
      </w:r>
      <w:r>
        <w:rPr>
          <w:rFonts w:ascii="仿宋_GB2312" w:eastAsia="仿宋_GB2312" w:hAnsi="华文仿宋" w:hint="eastAsia"/>
          <w:bCs/>
          <w:sz w:val="28"/>
          <w:szCs w:val="28"/>
        </w:rPr>
        <w:t>适度的前瞻性原则。</w:t>
      </w:r>
      <w:r>
        <w:rPr>
          <w:rFonts w:ascii="仿宋_GB2312" w:eastAsia="仿宋_GB2312" w:hAnsi="华文仿宋" w:hint="eastAsia"/>
          <w:sz w:val="28"/>
          <w:szCs w:val="28"/>
        </w:rPr>
        <w:t>本次修订确定的限额指标应更有利于促进节能降耗，满足新形势下经济发展和社会进步的新要求。四是公平性原则。标准中所确定的限额指标要照顾到各级行政机关的不同情况，体现公平性。五是可</w:t>
      </w:r>
      <w:bookmarkStart w:id="4" w:name="_Toc1075"/>
      <w:r>
        <w:rPr>
          <w:rFonts w:ascii="仿宋_GB2312" w:eastAsia="仿宋_GB2312" w:hAnsi="华文仿宋" w:hint="eastAsia"/>
          <w:bCs/>
          <w:sz w:val="28"/>
          <w:szCs w:val="28"/>
        </w:rPr>
        <w:t>操作原则</w:t>
      </w:r>
      <w:bookmarkEnd w:id="4"/>
      <w:r>
        <w:rPr>
          <w:rFonts w:ascii="仿宋_GB2312" w:eastAsia="仿宋_GB2312" w:hAnsi="华文仿宋" w:hint="eastAsia"/>
          <w:bCs/>
          <w:sz w:val="28"/>
          <w:szCs w:val="28"/>
        </w:rPr>
        <w:t>。</w:t>
      </w:r>
      <w:r>
        <w:rPr>
          <w:rFonts w:ascii="仿宋_GB2312" w:eastAsia="仿宋_GB2312" w:hAnsi="华文仿宋" w:hint="eastAsia"/>
          <w:sz w:val="28"/>
          <w:szCs w:val="28"/>
        </w:rPr>
        <w:t>标准所确定的计算方法、能耗限额值要更便于实施与考核。</w:t>
      </w:r>
    </w:p>
    <w:p w:rsidR="00420ED3" w:rsidRDefault="00420ED3" w:rsidP="00420ED3">
      <w:pPr>
        <w:adjustRightInd w:val="0"/>
        <w:snapToGrid w:val="0"/>
        <w:spacing w:line="580" w:lineRule="exact"/>
        <w:ind w:firstLineChars="200" w:firstLine="560"/>
        <w:rPr>
          <w:rFonts w:ascii="黑体" w:eastAsia="黑体" w:hAnsi="华文仿宋"/>
          <w:sz w:val="28"/>
          <w:szCs w:val="28"/>
        </w:rPr>
      </w:pPr>
      <w:r>
        <w:rPr>
          <w:rFonts w:ascii="黑体" w:eastAsia="黑体" w:hAnsi="华文仿宋" w:hint="eastAsia"/>
          <w:sz w:val="28"/>
          <w:szCs w:val="28"/>
        </w:rPr>
        <w:t>3.2与替代标准的主要差异情况</w:t>
      </w:r>
    </w:p>
    <w:p w:rsidR="00420ED3" w:rsidRDefault="00420ED3" w:rsidP="00420ED3">
      <w:pPr>
        <w:ind w:firstLineChars="200" w:firstLine="560"/>
        <w:rPr>
          <w:rFonts w:ascii="仿宋_GB2312" w:eastAsia="仿宋_GB2312" w:hAnsi="华文仿宋"/>
          <w:sz w:val="28"/>
          <w:szCs w:val="28"/>
        </w:rPr>
      </w:pPr>
      <w:r w:rsidRPr="00ED39B3">
        <w:rPr>
          <w:rFonts w:ascii="仿宋_GB2312" w:eastAsia="仿宋_GB2312" w:hAnsi="华文仿宋" w:hint="eastAsia"/>
          <w:sz w:val="28"/>
          <w:szCs w:val="28"/>
        </w:rPr>
        <w:t>一是标准名称由原来“行政机关综合能耗、电耗定额及计算方法”改为“行政机关能耗限额及计算方法”名称更精简了。</w:t>
      </w:r>
    </w:p>
    <w:p w:rsidR="00420ED3" w:rsidRDefault="00DA437F" w:rsidP="00420ED3">
      <w:pPr>
        <w:ind w:firstLineChars="200" w:firstLine="560"/>
        <w:rPr>
          <w:rFonts w:ascii="仿宋_GB2312" w:eastAsia="仿宋_GB2312" w:hAnsi="华文仿宋"/>
          <w:sz w:val="28"/>
          <w:szCs w:val="28"/>
        </w:rPr>
      </w:pPr>
      <w:r>
        <w:rPr>
          <w:rFonts w:ascii="仿宋_GB2312" w:eastAsia="仿宋_GB2312" w:hAnsi="华文仿宋" w:hint="eastAsia"/>
          <w:sz w:val="28"/>
          <w:szCs w:val="28"/>
        </w:rPr>
        <w:lastRenderedPageBreak/>
        <w:t>二</w:t>
      </w:r>
      <w:r w:rsidR="00420ED3">
        <w:rPr>
          <w:rFonts w:ascii="仿宋_GB2312" w:eastAsia="仿宋_GB2312" w:hAnsi="华文仿宋" w:hint="eastAsia"/>
          <w:sz w:val="28"/>
          <w:szCs w:val="28"/>
        </w:rPr>
        <w:t>是</w:t>
      </w:r>
      <w:r w:rsidR="00420ED3" w:rsidRPr="00ED39B3">
        <w:rPr>
          <w:rFonts w:ascii="仿宋_GB2312" w:eastAsia="仿宋_GB2312" w:hAnsi="华文仿宋" w:hint="eastAsia"/>
          <w:sz w:val="28"/>
          <w:szCs w:val="28"/>
        </w:rPr>
        <w:t>目次，章</w:t>
      </w:r>
      <w:r w:rsidR="00420ED3">
        <w:rPr>
          <w:rFonts w:ascii="仿宋_GB2312" w:eastAsia="仿宋_GB2312" w:hAnsi="华文仿宋" w:hint="eastAsia"/>
          <w:sz w:val="28"/>
          <w:szCs w:val="28"/>
        </w:rPr>
        <w:t>节顺序适当进行调整，新标准把能耗</w:t>
      </w:r>
      <w:r>
        <w:rPr>
          <w:rFonts w:ascii="仿宋_GB2312" w:eastAsia="仿宋_GB2312" w:hAnsi="华文仿宋" w:hint="eastAsia"/>
          <w:sz w:val="28"/>
          <w:szCs w:val="28"/>
        </w:rPr>
        <w:t>限额</w:t>
      </w:r>
      <w:r w:rsidR="00420ED3">
        <w:rPr>
          <w:rFonts w:ascii="仿宋_GB2312" w:eastAsia="仿宋_GB2312" w:hAnsi="华文仿宋" w:hint="eastAsia"/>
          <w:sz w:val="28"/>
          <w:szCs w:val="28"/>
        </w:rPr>
        <w:t>及修正系数表放到标准的最后</w:t>
      </w:r>
      <w:r w:rsidR="00420ED3" w:rsidRPr="00ED39B3">
        <w:rPr>
          <w:rFonts w:ascii="仿宋_GB2312" w:eastAsia="仿宋_GB2312" w:hAnsi="华文仿宋" w:hint="eastAsia"/>
          <w:sz w:val="28"/>
          <w:szCs w:val="28"/>
        </w:rPr>
        <w:t>。</w:t>
      </w:r>
    </w:p>
    <w:p w:rsidR="00420ED3" w:rsidRPr="004425E0" w:rsidRDefault="002976AE" w:rsidP="00420ED3">
      <w:pPr>
        <w:ind w:firstLineChars="200" w:firstLine="560"/>
        <w:rPr>
          <w:rFonts w:ascii="仿宋_GB2312" w:eastAsia="仿宋_GB2312" w:hAnsi="华文仿宋"/>
          <w:sz w:val="28"/>
          <w:szCs w:val="28"/>
        </w:rPr>
      </w:pPr>
      <w:r>
        <w:rPr>
          <w:rFonts w:ascii="仿宋_GB2312" w:eastAsia="仿宋_GB2312" w:hAnsi="华文仿宋" w:hint="eastAsia"/>
          <w:sz w:val="28"/>
          <w:szCs w:val="28"/>
        </w:rPr>
        <w:t>三是</w:t>
      </w:r>
      <w:r w:rsidR="00BA7403">
        <w:rPr>
          <w:rFonts w:ascii="仿宋_GB2312" w:eastAsia="仿宋_GB2312" w:hAnsi="华文仿宋" w:hint="eastAsia"/>
          <w:sz w:val="28"/>
          <w:szCs w:val="28"/>
        </w:rPr>
        <w:t>是</w:t>
      </w:r>
      <w:r w:rsidR="00420ED3" w:rsidRPr="004425E0">
        <w:rPr>
          <w:rFonts w:ascii="仿宋_GB2312" w:eastAsia="仿宋_GB2312" w:hAnsi="华文仿宋" w:hint="eastAsia"/>
          <w:sz w:val="28"/>
          <w:szCs w:val="28"/>
        </w:rPr>
        <w:t>文本</w:t>
      </w:r>
      <w:r w:rsidR="00420ED3">
        <w:rPr>
          <w:rFonts w:ascii="仿宋_GB2312" w:eastAsia="仿宋_GB2312" w:hAnsi="华文仿宋" w:hint="eastAsia"/>
          <w:sz w:val="28"/>
          <w:szCs w:val="28"/>
        </w:rPr>
        <w:t>描述更加准确，数据设置更加</w:t>
      </w:r>
      <w:r>
        <w:rPr>
          <w:rFonts w:ascii="仿宋_GB2312" w:eastAsia="仿宋_GB2312" w:hAnsi="华文仿宋" w:hint="eastAsia"/>
          <w:sz w:val="28"/>
          <w:szCs w:val="28"/>
        </w:rPr>
        <w:t>科学</w:t>
      </w:r>
      <w:r w:rsidR="00420ED3">
        <w:rPr>
          <w:rFonts w:ascii="仿宋_GB2312" w:eastAsia="仿宋_GB2312" w:hAnsi="华文仿宋" w:hint="eastAsia"/>
          <w:sz w:val="28"/>
          <w:szCs w:val="28"/>
        </w:rPr>
        <w:t>。</w:t>
      </w:r>
    </w:p>
    <w:p w:rsidR="00420ED3" w:rsidRPr="004425E0" w:rsidRDefault="00420ED3" w:rsidP="00420ED3">
      <w:pPr>
        <w:ind w:firstLineChars="200" w:firstLine="560"/>
        <w:rPr>
          <w:rFonts w:ascii="仿宋_GB2312" w:eastAsia="仿宋_GB2312" w:hAnsi="华文仿宋"/>
          <w:sz w:val="28"/>
          <w:szCs w:val="28"/>
        </w:rPr>
      </w:pPr>
      <w:r>
        <w:rPr>
          <w:rFonts w:ascii="仿宋_GB2312" w:eastAsia="仿宋_GB2312" w:hAnsi="华文仿宋" w:hint="eastAsia"/>
          <w:sz w:val="28"/>
          <w:szCs w:val="28"/>
        </w:rPr>
        <w:t>1、范围描述</w:t>
      </w:r>
      <w:r w:rsidRPr="004425E0">
        <w:rPr>
          <w:rFonts w:ascii="仿宋_GB2312" w:eastAsia="仿宋_GB2312" w:hAnsi="华文仿宋" w:hint="eastAsia"/>
          <w:sz w:val="28"/>
          <w:szCs w:val="28"/>
        </w:rPr>
        <w:t>更具体</w:t>
      </w:r>
      <w:r>
        <w:rPr>
          <w:rFonts w:ascii="仿宋_GB2312" w:eastAsia="仿宋_GB2312" w:hAnsi="华文仿宋" w:hint="eastAsia"/>
          <w:sz w:val="28"/>
          <w:szCs w:val="28"/>
        </w:rPr>
        <w:t>、更清晰</w:t>
      </w:r>
      <w:r w:rsidRPr="004425E0">
        <w:rPr>
          <w:rFonts w:ascii="仿宋_GB2312" w:eastAsia="仿宋_GB2312" w:hAnsi="华文仿宋" w:hint="eastAsia"/>
          <w:sz w:val="28"/>
          <w:szCs w:val="28"/>
        </w:rPr>
        <w:t>。</w:t>
      </w:r>
    </w:p>
    <w:p w:rsidR="00420ED3" w:rsidRPr="004425E0" w:rsidRDefault="00420ED3" w:rsidP="00420ED3">
      <w:pPr>
        <w:ind w:firstLineChars="200" w:firstLine="560"/>
        <w:rPr>
          <w:rFonts w:ascii="仿宋_GB2312" w:eastAsia="仿宋_GB2312" w:hAnsi="华文仿宋"/>
          <w:sz w:val="28"/>
          <w:szCs w:val="28"/>
        </w:rPr>
      </w:pPr>
      <w:r>
        <w:rPr>
          <w:rFonts w:ascii="仿宋_GB2312" w:eastAsia="仿宋_GB2312" w:hAnsi="华文仿宋" w:hint="eastAsia"/>
          <w:sz w:val="28"/>
          <w:szCs w:val="28"/>
        </w:rPr>
        <w:t>2、</w:t>
      </w:r>
      <w:r w:rsidRPr="004425E0">
        <w:rPr>
          <w:rFonts w:ascii="仿宋_GB2312" w:eastAsia="仿宋_GB2312" w:hAnsi="华文仿宋" w:hint="eastAsia"/>
          <w:sz w:val="28"/>
          <w:szCs w:val="28"/>
        </w:rPr>
        <w:t>术语和定义</w:t>
      </w:r>
      <w:r>
        <w:rPr>
          <w:rFonts w:ascii="仿宋_GB2312" w:eastAsia="仿宋_GB2312" w:hAnsi="华文仿宋" w:hint="eastAsia"/>
          <w:sz w:val="28"/>
          <w:szCs w:val="28"/>
        </w:rPr>
        <w:t>更准确、精简。</w:t>
      </w:r>
      <w:r w:rsidRPr="004425E0">
        <w:rPr>
          <w:rFonts w:ascii="仿宋_GB2312" w:eastAsia="仿宋_GB2312" w:hAnsi="华文仿宋" w:hint="eastAsia"/>
          <w:sz w:val="28"/>
          <w:szCs w:val="28"/>
        </w:rPr>
        <w:t>在老标准基础上增加了建筑面积、用能人数、人均综合能耗、人均电耗四个术语，去掉了行政机关的定义</w:t>
      </w:r>
      <w:r w:rsidR="00CB008B">
        <w:rPr>
          <w:rFonts w:ascii="仿宋_GB2312" w:eastAsia="仿宋_GB2312" w:hAnsi="华文仿宋" w:hint="eastAsia"/>
          <w:sz w:val="28"/>
          <w:szCs w:val="28"/>
        </w:rPr>
        <w:t>，</w:t>
      </w:r>
      <w:r>
        <w:rPr>
          <w:rFonts w:ascii="仿宋_GB2312" w:eastAsia="仿宋_GB2312" w:hAnsi="华文仿宋" w:hint="eastAsia"/>
          <w:sz w:val="28"/>
          <w:szCs w:val="28"/>
        </w:rPr>
        <w:t>省掉</w:t>
      </w:r>
      <w:r w:rsidRPr="004425E0">
        <w:rPr>
          <w:rFonts w:ascii="仿宋_GB2312" w:eastAsia="仿宋_GB2312" w:hAnsi="华文仿宋" w:hint="eastAsia"/>
          <w:sz w:val="28"/>
          <w:szCs w:val="28"/>
        </w:rPr>
        <w:t>以前每个术语前面的行政机关四个</w:t>
      </w:r>
      <w:r>
        <w:rPr>
          <w:rFonts w:ascii="仿宋_GB2312" w:eastAsia="仿宋_GB2312" w:hAnsi="华文仿宋" w:hint="eastAsia"/>
          <w:sz w:val="28"/>
          <w:szCs w:val="28"/>
        </w:rPr>
        <w:t>字</w:t>
      </w:r>
      <w:r w:rsidRPr="004425E0">
        <w:rPr>
          <w:rFonts w:ascii="仿宋_GB2312" w:eastAsia="仿宋_GB2312" w:hAnsi="华文仿宋" w:hint="eastAsia"/>
          <w:sz w:val="28"/>
          <w:szCs w:val="28"/>
        </w:rPr>
        <w:t>。</w:t>
      </w:r>
    </w:p>
    <w:p w:rsidR="00420ED3" w:rsidRPr="004425E0" w:rsidRDefault="00420ED3" w:rsidP="00420ED3">
      <w:pPr>
        <w:ind w:firstLineChars="200" w:firstLine="560"/>
        <w:rPr>
          <w:rFonts w:ascii="仿宋_GB2312" w:eastAsia="仿宋_GB2312" w:hAnsi="华文仿宋"/>
          <w:sz w:val="28"/>
          <w:szCs w:val="28"/>
        </w:rPr>
      </w:pPr>
      <w:r>
        <w:rPr>
          <w:rFonts w:ascii="仿宋_GB2312" w:eastAsia="仿宋_GB2312" w:hAnsi="华文仿宋" w:hint="eastAsia"/>
          <w:sz w:val="28"/>
          <w:szCs w:val="28"/>
        </w:rPr>
        <w:t>3、</w:t>
      </w:r>
      <w:r w:rsidRPr="004425E0">
        <w:rPr>
          <w:rFonts w:ascii="仿宋_GB2312" w:eastAsia="仿宋_GB2312" w:hAnsi="华文仿宋" w:hint="eastAsia"/>
          <w:sz w:val="28"/>
          <w:szCs w:val="28"/>
        </w:rPr>
        <w:t>统计范围，在原标准上增加了电耗统计范围的描述。</w:t>
      </w:r>
    </w:p>
    <w:p w:rsidR="00420ED3" w:rsidRPr="004425E0" w:rsidRDefault="00420ED3" w:rsidP="00420ED3">
      <w:pPr>
        <w:ind w:firstLineChars="200" w:firstLine="560"/>
        <w:rPr>
          <w:rFonts w:ascii="仿宋_GB2312" w:eastAsia="仿宋_GB2312" w:hAnsi="华文仿宋"/>
          <w:sz w:val="28"/>
          <w:szCs w:val="28"/>
        </w:rPr>
      </w:pPr>
      <w:r>
        <w:rPr>
          <w:rFonts w:ascii="仿宋_GB2312" w:eastAsia="仿宋_GB2312" w:hAnsi="华文仿宋" w:hint="eastAsia"/>
          <w:sz w:val="28"/>
          <w:szCs w:val="28"/>
        </w:rPr>
        <w:t>4、</w:t>
      </w:r>
      <w:r w:rsidRPr="004425E0">
        <w:rPr>
          <w:rFonts w:ascii="仿宋_GB2312" w:eastAsia="仿宋_GB2312" w:hAnsi="华文仿宋" w:hint="eastAsia"/>
          <w:sz w:val="28"/>
          <w:szCs w:val="28"/>
        </w:rPr>
        <w:t>计量管理 引用文件由原来的GB1767变为</w:t>
      </w:r>
      <w:r>
        <w:rPr>
          <w:rFonts w:ascii="仿宋_GB2312" w:eastAsia="仿宋_GB2312" w:hAnsi="华文仿宋" w:hint="eastAsia"/>
          <w:sz w:val="28"/>
          <w:szCs w:val="28"/>
        </w:rPr>
        <w:t>最新版</w:t>
      </w:r>
      <w:r w:rsidRPr="004425E0">
        <w:rPr>
          <w:rFonts w:ascii="仿宋_GB2312" w:eastAsia="仿宋_GB2312" w:hAnsi="华文仿宋" w:hint="eastAsia"/>
          <w:sz w:val="28"/>
          <w:szCs w:val="28"/>
        </w:rPr>
        <w:t>GB/T29149</w:t>
      </w:r>
      <w:r>
        <w:rPr>
          <w:rFonts w:ascii="仿宋_GB2312" w:eastAsia="仿宋_GB2312" w:hAnsi="华文仿宋" w:hint="eastAsia"/>
          <w:sz w:val="28"/>
          <w:szCs w:val="28"/>
        </w:rPr>
        <w:t>。</w:t>
      </w:r>
    </w:p>
    <w:p w:rsidR="00420ED3" w:rsidRPr="004425E0" w:rsidRDefault="00420ED3" w:rsidP="00420ED3">
      <w:pPr>
        <w:ind w:firstLineChars="200" w:firstLine="560"/>
        <w:rPr>
          <w:rFonts w:ascii="仿宋_GB2312" w:eastAsia="仿宋_GB2312" w:hAnsi="华文仿宋"/>
          <w:sz w:val="28"/>
          <w:szCs w:val="28"/>
        </w:rPr>
      </w:pPr>
      <w:r>
        <w:rPr>
          <w:rFonts w:ascii="仿宋_GB2312" w:eastAsia="仿宋_GB2312" w:hAnsi="华文仿宋" w:hint="eastAsia"/>
          <w:sz w:val="28"/>
          <w:szCs w:val="28"/>
        </w:rPr>
        <w:t>5、</w:t>
      </w:r>
      <w:r w:rsidR="00CB008B">
        <w:rPr>
          <w:rFonts w:ascii="仿宋_GB2312" w:eastAsia="仿宋_GB2312" w:hAnsi="华文仿宋" w:hint="eastAsia"/>
          <w:sz w:val="28"/>
          <w:szCs w:val="28"/>
        </w:rPr>
        <w:t>单位面积综合能耗、单位面积电耗公式由原来的斜式改为现在的上下</w:t>
      </w:r>
      <w:r w:rsidRPr="004425E0">
        <w:rPr>
          <w:rFonts w:ascii="仿宋_GB2312" w:eastAsia="仿宋_GB2312" w:hAnsi="华文仿宋" w:hint="eastAsia"/>
          <w:sz w:val="28"/>
          <w:szCs w:val="28"/>
        </w:rPr>
        <w:t>分子分母式。人均电耗公式中字母下标与原来不一样。</w:t>
      </w:r>
    </w:p>
    <w:p w:rsidR="00420ED3" w:rsidRDefault="00420ED3" w:rsidP="00420ED3">
      <w:pPr>
        <w:spacing w:line="580" w:lineRule="exact"/>
        <w:ind w:firstLine="573"/>
        <w:rPr>
          <w:rFonts w:ascii="仿宋_GB2312" w:eastAsia="仿宋_GB2312" w:hAnsi="华文仿宋"/>
          <w:sz w:val="28"/>
          <w:szCs w:val="28"/>
        </w:rPr>
      </w:pPr>
      <w:r>
        <w:rPr>
          <w:rFonts w:ascii="仿宋_GB2312" w:eastAsia="仿宋_GB2312" w:hAnsi="华文仿宋" w:hint="eastAsia"/>
          <w:sz w:val="28"/>
          <w:szCs w:val="28"/>
        </w:rPr>
        <w:t>6、标准的限额指标。从统一的“定额”标准到“领先值”、“先进值”“达标值”的区间划分，进一步体现标准的引领和导向作用；修正系数充分考虑中央空调</w:t>
      </w:r>
      <w:r w:rsidR="003E7C57">
        <w:rPr>
          <w:rFonts w:ascii="仿宋_GB2312" w:eastAsia="仿宋_GB2312" w:hAnsi="华文仿宋" w:hint="eastAsia"/>
          <w:sz w:val="28"/>
          <w:szCs w:val="28"/>
        </w:rPr>
        <w:t>的</w:t>
      </w:r>
      <w:r>
        <w:rPr>
          <w:rFonts w:ascii="仿宋_GB2312" w:eastAsia="仿宋_GB2312" w:hAnsi="华文仿宋" w:hint="eastAsia"/>
          <w:sz w:val="28"/>
          <w:szCs w:val="28"/>
        </w:rPr>
        <w:t>高能耗。新老标准定额和限额指标的详细对比如下，其中表1、表2为DB43/T 613-2011标准所规定的能耗定额，表3、表4、表5为本次新修订的标准DB43/T 613—2015所规定的能耗指标。</w:t>
      </w:r>
    </w:p>
    <w:p w:rsidR="00420ED3" w:rsidRDefault="00420ED3" w:rsidP="00420ED3">
      <w:pPr>
        <w:spacing w:line="580" w:lineRule="exact"/>
        <w:ind w:firstLine="573"/>
        <w:rPr>
          <w:rFonts w:ascii="仿宋_GB2312" w:eastAsia="仿宋_GB2312" w:hAnsi="华文仿宋"/>
          <w:b/>
          <w:bCs/>
          <w:sz w:val="28"/>
          <w:szCs w:val="28"/>
        </w:rPr>
      </w:pPr>
      <w:r>
        <w:rPr>
          <w:rFonts w:ascii="仿宋_GB2312" w:eastAsia="仿宋_GB2312" w:hAnsi="华文仿宋" w:hint="eastAsia"/>
          <w:b/>
          <w:bCs/>
          <w:sz w:val="28"/>
          <w:szCs w:val="28"/>
        </w:rPr>
        <w:t>DB43/T 613-2011</w:t>
      </w:r>
    </w:p>
    <w:p w:rsidR="00420ED3" w:rsidRPr="00E52E1C" w:rsidRDefault="00420ED3" w:rsidP="00420ED3">
      <w:pPr>
        <w:spacing w:line="580" w:lineRule="exact"/>
        <w:ind w:firstLine="573"/>
        <w:jc w:val="center"/>
        <w:rPr>
          <w:rFonts w:ascii="仿宋_GB2312" w:eastAsia="仿宋_GB2312" w:hAnsi="华文仿宋"/>
          <w:b/>
          <w:bCs/>
          <w:sz w:val="28"/>
          <w:szCs w:val="28"/>
        </w:rPr>
      </w:pPr>
      <w:r w:rsidRPr="00E52E1C">
        <w:rPr>
          <w:rFonts w:ascii="仿宋_GB2312" w:eastAsia="仿宋_GB2312" w:hAnsi="华文仿宋" w:hint="eastAsia"/>
          <w:bCs/>
          <w:sz w:val="28"/>
          <w:szCs w:val="28"/>
        </w:rPr>
        <w:t xml:space="preserve">表1 </w:t>
      </w:r>
      <w:r w:rsidRPr="00E52E1C">
        <w:rPr>
          <w:rFonts w:ascii="宋体" w:hAnsi="宋体" w:cs="宋体" w:hint="eastAsia"/>
          <w:sz w:val="24"/>
          <w:szCs w:val="24"/>
        </w:rPr>
        <w:t>行政机关的单位综合能耗、电耗定额</w:t>
      </w:r>
    </w:p>
    <w:tbl>
      <w:tblPr>
        <w:tblW w:w="9240" w:type="dxa"/>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1E0" w:firstRow="1" w:lastRow="1" w:firstColumn="1" w:lastColumn="1" w:noHBand="0" w:noVBand="0"/>
      </w:tblPr>
      <w:tblGrid>
        <w:gridCol w:w="2284"/>
        <w:gridCol w:w="2392"/>
        <w:gridCol w:w="2393"/>
        <w:gridCol w:w="2171"/>
      </w:tblGrid>
      <w:tr w:rsidR="00420ED3" w:rsidTr="008050D9">
        <w:tc>
          <w:tcPr>
            <w:tcW w:w="2284" w:type="dxa"/>
            <w:tcBorders>
              <w:top w:val="single" w:sz="8" w:space="0" w:color="auto"/>
              <w:bottom w:val="single" w:sz="8"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单位面积综合能耗</w:t>
            </w:r>
          </w:p>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w:t>
            </w:r>
            <w:proofErr w:type="spellStart"/>
            <w:r w:rsidRPr="006E0E05">
              <w:rPr>
                <w:rFonts w:ascii="宋体" w:hAnsi="宋体"/>
                <w:sz w:val="18"/>
                <w:szCs w:val="18"/>
              </w:rPr>
              <w:t>kgce</w:t>
            </w:r>
            <w:proofErr w:type="spellEnd"/>
            <w:r w:rsidRPr="006E0E05">
              <w:rPr>
                <w:rFonts w:ascii="宋体" w:hAnsi="宋体" w:hint="eastAsia"/>
                <w:sz w:val="18"/>
                <w:szCs w:val="18"/>
              </w:rPr>
              <w:t>/ m2）</w:t>
            </w:r>
          </w:p>
        </w:tc>
        <w:tc>
          <w:tcPr>
            <w:tcW w:w="2392" w:type="dxa"/>
            <w:tcBorders>
              <w:top w:val="single" w:sz="8" w:space="0" w:color="auto"/>
              <w:bottom w:val="single" w:sz="8"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单位面积综合电耗</w:t>
            </w:r>
          </w:p>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w:t>
            </w:r>
            <w:r w:rsidRPr="006E0E05">
              <w:rPr>
                <w:rFonts w:ascii="宋体" w:hAnsi="宋体"/>
                <w:sz w:val="18"/>
                <w:szCs w:val="18"/>
              </w:rPr>
              <w:t>kWh</w:t>
            </w:r>
            <w:r w:rsidRPr="006E0E05">
              <w:rPr>
                <w:rFonts w:ascii="宋体" w:hAnsi="宋体" w:hint="eastAsia"/>
                <w:sz w:val="18"/>
                <w:szCs w:val="18"/>
              </w:rPr>
              <w:t xml:space="preserve"> / m2)</w:t>
            </w:r>
          </w:p>
        </w:tc>
        <w:tc>
          <w:tcPr>
            <w:tcW w:w="2393" w:type="dxa"/>
            <w:tcBorders>
              <w:top w:val="single" w:sz="8" w:space="0" w:color="auto"/>
              <w:bottom w:val="single" w:sz="8"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人均综合能耗</w:t>
            </w:r>
          </w:p>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w:t>
            </w:r>
            <w:proofErr w:type="spellStart"/>
            <w:r w:rsidRPr="006E0E05">
              <w:rPr>
                <w:rFonts w:ascii="宋体" w:hAnsi="宋体"/>
                <w:sz w:val="18"/>
                <w:szCs w:val="18"/>
              </w:rPr>
              <w:t>kgce</w:t>
            </w:r>
            <w:proofErr w:type="spellEnd"/>
            <w:r w:rsidRPr="006E0E05">
              <w:rPr>
                <w:rFonts w:ascii="宋体" w:hAnsi="宋体" w:hint="eastAsia"/>
                <w:sz w:val="18"/>
                <w:szCs w:val="18"/>
              </w:rPr>
              <w:t>)</w:t>
            </w:r>
          </w:p>
        </w:tc>
        <w:tc>
          <w:tcPr>
            <w:tcW w:w="2171" w:type="dxa"/>
            <w:tcBorders>
              <w:top w:val="single" w:sz="8" w:space="0" w:color="auto"/>
              <w:bottom w:val="single" w:sz="8"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人均综合电耗</w:t>
            </w:r>
          </w:p>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w:t>
            </w:r>
            <w:r w:rsidRPr="006E0E05">
              <w:rPr>
                <w:rFonts w:ascii="宋体" w:hAnsi="宋体"/>
                <w:sz w:val="18"/>
                <w:szCs w:val="18"/>
              </w:rPr>
              <w:t>kWh</w:t>
            </w:r>
            <w:r w:rsidRPr="006E0E05">
              <w:rPr>
                <w:rFonts w:ascii="宋体" w:hAnsi="宋体" w:hint="eastAsia"/>
                <w:sz w:val="18"/>
                <w:szCs w:val="18"/>
              </w:rPr>
              <w:t>)</w:t>
            </w:r>
          </w:p>
        </w:tc>
      </w:tr>
      <w:tr w:rsidR="00420ED3" w:rsidTr="008050D9">
        <w:tc>
          <w:tcPr>
            <w:tcW w:w="2284" w:type="dxa"/>
            <w:tcBorders>
              <w:top w:val="single" w:sz="8"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sz w:val="18"/>
                <w:szCs w:val="18"/>
              </w:rPr>
              <w:t>≤</w:t>
            </w:r>
            <w:r w:rsidRPr="006E0E05">
              <w:rPr>
                <w:rFonts w:ascii="宋体" w:hAnsi="宋体" w:hint="eastAsia"/>
                <w:sz w:val="18"/>
                <w:szCs w:val="18"/>
              </w:rPr>
              <w:t>20</w:t>
            </w:r>
          </w:p>
        </w:tc>
        <w:tc>
          <w:tcPr>
            <w:tcW w:w="2392" w:type="dxa"/>
            <w:tcBorders>
              <w:top w:val="single" w:sz="8"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sz w:val="18"/>
                <w:szCs w:val="18"/>
              </w:rPr>
              <w:t>≤</w:t>
            </w:r>
            <w:r w:rsidRPr="006E0E05">
              <w:rPr>
                <w:rFonts w:ascii="宋体" w:hAnsi="宋体" w:hint="eastAsia"/>
                <w:sz w:val="18"/>
                <w:szCs w:val="18"/>
              </w:rPr>
              <w:t>50</w:t>
            </w:r>
          </w:p>
        </w:tc>
        <w:tc>
          <w:tcPr>
            <w:tcW w:w="2393" w:type="dxa"/>
            <w:tcBorders>
              <w:top w:val="single" w:sz="8"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sz w:val="18"/>
                <w:szCs w:val="18"/>
              </w:rPr>
              <w:t>≤</w:t>
            </w:r>
            <w:r w:rsidRPr="006E0E05">
              <w:rPr>
                <w:rFonts w:ascii="宋体" w:hAnsi="宋体" w:hint="eastAsia"/>
                <w:sz w:val="18"/>
                <w:szCs w:val="18"/>
              </w:rPr>
              <w:t>1250</w:t>
            </w:r>
          </w:p>
        </w:tc>
        <w:tc>
          <w:tcPr>
            <w:tcW w:w="2171" w:type="dxa"/>
            <w:tcBorders>
              <w:top w:val="single" w:sz="8"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sz w:val="18"/>
                <w:szCs w:val="18"/>
              </w:rPr>
              <w:t>≤</w:t>
            </w:r>
            <w:r w:rsidRPr="006E0E05">
              <w:rPr>
                <w:rFonts w:ascii="宋体" w:hAnsi="宋体" w:hint="eastAsia"/>
                <w:sz w:val="18"/>
                <w:szCs w:val="18"/>
              </w:rPr>
              <w:t>2000</w:t>
            </w:r>
          </w:p>
        </w:tc>
      </w:tr>
    </w:tbl>
    <w:p w:rsidR="00420ED3" w:rsidRPr="00E52E1C" w:rsidRDefault="00420ED3" w:rsidP="00420ED3">
      <w:pPr>
        <w:pStyle w:val="a"/>
        <w:numPr>
          <w:ilvl w:val="0"/>
          <w:numId w:val="0"/>
        </w:numPr>
        <w:rPr>
          <w:rFonts w:ascii="仿宋_GB2312" w:eastAsia="仿宋_GB2312" w:hAnsi="华文仿宋"/>
          <w:bCs/>
          <w:kern w:val="2"/>
          <w:sz w:val="28"/>
          <w:szCs w:val="28"/>
        </w:rPr>
      </w:pPr>
      <w:r>
        <w:rPr>
          <w:rFonts w:ascii="仿宋_GB2312" w:eastAsia="仿宋_GB2312" w:hAnsi="华文仿宋" w:hint="eastAsia"/>
          <w:bCs/>
          <w:kern w:val="2"/>
          <w:sz w:val="28"/>
          <w:szCs w:val="28"/>
        </w:rPr>
        <w:t xml:space="preserve">表2 </w:t>
      </w:r>
      <w:r w:rsidRPr="00E52E1C">
        <w:rPr>
          <w:rFonts w:ascii="仿宋_GB2312" w:eastAsia="仿宋_GB2312" w:hAnsi="华文仿宋" w:hint="eastAsia"/>
          <w:bCs/>
          <w:kern w:val="2"/>
          <w:sz w:val="28"/>
          <w:szCs w:val="28"/>
        </w:rPr>
        <w:t>行政机关综合能耗电耗定额修正系数</w:t>
      </w:r>
    </w:p>
    <w:tbl>
      <w:tblPr>
        <w:tblW w:w="4882" w:type="pct"/>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6545"/>
        <w:gridCol w:w="1776"/>
      </w:tblGrid>
      <w:tr w:rsidR="00420ED3" w:rsidTr="008050D9">
        <w:tc>
          <w:tcPr>
            <w:tcW w:w="3933" w:type="pct"/>
            <w:tcBorders>
              <w:top w:val="single" w:sz="8" w:space="0" w:color="auto"/>
              <w:bottom w:val="single" w:sz="8"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lastRenderedPageBreak/>
              <w:t>单位综合能耗电耗定额修正条件</w:t>
            </w:r>
          </w:p>
        </w:tc>
        <w:tc>
          <w:tcPr>
            <w:tcW w:w="1067" w:type="pct"/>
            <w:tcBorders>
              <w:top w:val="single" w:sz="8" w:space="0" w:color="auto"/>
              <w:bottom w:val="single" w:sz="8"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修正系数</w:t>
            </w:r>
          </w:p>
        </w:tc>
      </w:tr>
      <w:tr w:rsidR="00420ED3" w:rsidTr="008050D9">
        <w:tc>
          <w:tcPr>
            <w:tcW w:w="3933" w:type="pct"/>
            <w:tcBorders>
              <w:top w:val="single" w:sz="8" w:space="0" w:color="auto"/>
              <w:bottom w:val="single" w:sz="4"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拥有食堂并就餐人数在500人以上的</w:t>
            </w:r>
          </w:p>
        </w:tc>
        <w:tc>
          <w:tcPr>
            <w:tcW w:w="1067" w:type="pct"/>
            <w:tcBorders>
              <w:top w:val="single" w:sz="8" w:space="0" w:color="auto"/>
              <w:bottom w:val="single" w:sz="4"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1.25</w:t>
            </w:r>
          </w:p>
        </w:tc>
      </w:tr>
      <w:tr w:rsidR="00420ED3" w:rsidTr="008050D9">
        <w:tc>
          <w:tcPr>
            <w:tcW w:w="3933" w:type="pct"/>
            <w:tcBorders>
              <w:top w:val="single" w:sz="8"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办公建筑面积在20000㎡以上并全面设置空气调节系统的</w:t>
            </w:r>
          </w:p>
        </w:tc>
        <w:tc>
          <w:tcPr>
            <w:tcW w:w="1067" w:type="pct"/>
            <w:tcBorders>
              <w:top w:val="single" w:sz="8" w:space="0" w:color="auto"/>
            </w:tcBorders>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1.10</w:t>
            </w:r>
          </w:p>
        </w:tc>
      </w:tr>
      <w:tr w:rsidR="00420ED3" w:rsidTr="008050D9">
        <w:tc>
          <w:tcPr>
            <w:tcW w:w="3933" w:type="pct"/>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办公建筑面积在10000㎡～20000㎡并没有设置或部分设置空气调节系统的</w:t>
            </w:r>
          </w:p>
        </w:tc>
        <w:tc>
          <w:tcPr>
            <w:tcW w:w="1067" w:type="pct"/>
            <w:shd w:val="clear" w:color="auto" w:fill="auto"/>
            <w:vAlign w:val="center"/>
          </w:tcPr>
          <w:p w:rsidR="00420ED3" w:rsidRPr="006E0E05"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sidRPr="006E0E05">
              <w:rPr>
                <w:rFonts w:ascii="宋体" w:hAnsi="宋体" w:hint="eastAsia"/>
                <w:sz w:val="18"/>
                <w:szCs w:val="18"/>
              </w:rPr>
              <w:t>1.20</w:t>
            </w:r>
          </w:p>
        </w:tc>
      </w:tr>
    </w:tbl>
    <w:p w:rsidR="00420ED3" w:rsidRDefault="00420ED3" w:rsidP="00420ED3">
      <w:pPr>
        <w:spacing w:line="580" w:lineRule="exact"/>
        <w:ind w:firstLine="573"/>
        <w:rPr>
          <w:rFonts w:ascii="仿宋_GB2312" w:eastAsia="仿宋_GB2312" w:hAnsi="华文仿宋"/>
          <w:b/>
          <w:bCs/>
          <w:sz w:val="28"/>
          <w:szCs w:val="28"/>
        </w:rPr>
      </w:pPr>
      <w:r>
        <w:rPr>
          <w:rFonts w:ascii="仿宋_GB2312" w:eastAsia="仿宋_GB2312" w:hAnsi="华文仿宋" w:hint="eastAsia"/>
          <w:b/>
          <w:bCs/>
          <w:sz w:val="28"/>
          <w:szCs w:val="28"/>
        </w:rPr>
        <w:t>DB43/T</w:t>
      </w:r>
      <w:r>
        <w:rPr>
          <w:rFonts w:ascii="仿宋" w:eastAsia="仿宋" w:hAnsi="仿宋" w:hint="eastAsia"/>
          <w:b/>
          <w:bCs/>
          <w:sz w:val="28"/>
          <w:szCs w:val="28"/>
        </w:rPr>
        <w:t xml:space="preserve"> 613—</w:t>
      </w:r>
      <w:r>
        <w:rPr>
          <w:rFonts w:ascii="仿宋_GB2312" w:eastAsia="仿宋_GB2312" w:hAnsi="华文仿宋" w:hint="eastAsia"/>
          <w:b/>
          <w:bCs/>
          <w:sz w:val="28"/>
          <w:szCs w:val="28"/>
        </w:rPr>
        <w:t>2015</w:t>
      </w:r>
    </w:p>
    <w:p w:rsidR="00420ED3" w:rsidRPr="00102CF4" w:rsidRDefault="00420ED3" w:rsidP="00420ED3">
      <w:pPr>
        <w:pStyle w:val="a"/>
        <w:numPr>
          <w:ilvl w:val="0"/>
          <w:numId w:val="0"/>
        </w:numPr>
        <w:rPr>
          <w:rFonts w:ascii="仿宋_GB2312" w:eastAsia="仿宋_GB2312" w:hAnsi="华文仿宋"/>
          <w:bCs/>
          <w:kern w:val="2"/>
          <w:sz w:val="28"/>
          <w:szCs w:val="28"/>
        </w:rPr>
      </w:pPr>
      <w:r>
        <w:rPr>
          <w:rFonts w:ascii="仿宋_GB2312" w:eastAsia="仿宋_GB2312" w:hAnsi="华文仿宋" w:hint="eastAsia"/>
          <w:bCs/>
          <w:kern w:val="2"/>
          <w:sz w:val="28"/>
          <w:szCs w:val="28"/>
        </w:rPr>
        <w:t xml:space="preserve">表3 </w:t>
      </w:r>
      <w:r w:rsidRPr="00102CF4">
        <w:rPr>
          <w:rFonts w:ascii="仿宋_GB2312" w:eastAsia="仿宋_GB2312" w:hAnsi="华文仿宋" w:hint="eastAsia"/>
          <w:bCs/>
          <w:kern w:val="2"/>
          <w:sz w:val="28"/>
          <w:szCs w:val="28"/>
        </w:rPr>
        <w:t>行政机关单位面积综合能耗、电耗限额</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2127"/>
        <w:gridCol w:w="1842"/>
        <w:gridCol w:w="2410"/>
      </w:tblGrid>
      <w:tr w:rsidR="00420ED3" w:rsidTr="008050D9">
        <w:tc>
          <w:tcPr>
            <w:tcW w:w="2943" w:type="dxa"/>
          </w:tcPr>
          <w:p w:rsidR="00420ED3" w:rsidRDefault="00420ED3" w:rsidP="008050D9">
            <w:pPr>
              <w:pStyle w:val="a7"/>
              <w:widowControl w:val="0"/>
              <w:ind w:firstLineChars="0" w:firstLine="0"/>
              <w:jc w:val="center"/>
              <w:rPr>
                <w:rFonts w:ascii="黑体" w:eastAsia="黑体"/>
                <w:sz w:val="18"/>
                <w:szCs w:val="18"/>
              </w:rPr>
            </w:pPr>
            <w:r>
              <w:rPr>
                <w:rFonts w:ascii="黑体" w:eastAsia="黑体"/>
                <w:sz w:val="18"/>
                <w:szCs w:val="18"/>
              </w:rPr>
              <w:t>能耗指标</w:t>
            </w:r>
          </w:p>
        </w:tc>
        <w:tc>
          <w:tcPr>
            <w:tcW w:w="2127" w:type="dxa"/>
          </w:tcPr>
          <w:p w:rsidR="00420ED3" w:rsidRDefault="00420ED3" w:rsidP="008050D9">
            <w:pPr>
              <w:pStyle w:val="a7"/>
              <w:widowControl w:val="0"/>
              <w:ind w:firstLineChars="0" w:firstLine="0"/>
              <w:jc w:val="center"/>
              <w:rPr>
                <w:rFonts w:ascii="黑体" w:eastAsia="黑体"/>
                <w:sz w:val="18"/>
                <w:szCs w:val="18"/>
              </w:rPr>
            </w:pPr>
            <w:proofErr w:type="gramStart"/>
            <w:r>
              <w:rPr>
                <w:rFonts w:ascii="黑体" w:eastAsia="黑体"/>
                <w:sz w:val="18"/>
                <w:szCs w:val="18"/>
              </w:rPr>
              <w:t>领先值</w:t>
            </w:r>
            <w:proofErr w:type="gramEnd"/>
          </w:p>
        </w:tc>
        <w:tc>
          <w:tcPr>
            <w:tcW w:w="1842" w:type="dxa"/>
          </w:tcPr>
          <w:p w:rsidR="00420ED3" w:rsidRDefault="00420ED3" w:rsidP="008050D9">
            <w:pPr>
              <w:pStyle w:val="a7"/>
              <w:widowControl w:val="0"/>
              <w:ind w:firstLineChars="0" w:firstLine="0"/>
              <w:jc w:val="center"/>
              <w:rPr>
                <w:rFonts w:ascii="黑体" w:eastAsia="黑体"/>
                <w:sz w:val="18"/>
                <w:szCs w:val="18"/>
              </w:rPr>
            </w:pPr>
            <w:r>
              <w:rPr>
                <w:rFonts w:ascii="黑体" w:eastAsia="黑体"/>
                <w:sz w:val="18"/>
                <w:szCs w:val="18"/>
              </w:rPr>
              <w:t>先进值</w:t>
            </w:r>
          </w:p>
        </w:tc>
        <w:tc>
          <w:tcPr>
            <w:tcW w:w="2410" w:type="dxa"/>
          </w:tcPr>
          <w:p w:rsidR="00420ED3" w:rsidRDefault="00420ED3" w:rsidP="008050D9">
            <w:pPr>
              <w:pStyle w:val="a7"/>
              <w:widowControl w:val="0"/>
              <w:ind w:firstLineChars="0" w:firstLine="0"/>
              <w:jc w:val="center"/>
              <w:rPr>
                <w:rFonts w:ascii="黑体" w:eastAsia="黑体"/>
                <w:sz w:val="18"/>
                <w:szCs w:val="18"/>
              </w:rPr>
            </w:pPr>
            <w:r>
              <w:rPr>
                <w:rFonts w:ascii="黑体" w:eastAsia="黑体"/>
                <w:sz w:val="18"/>
                <w:szCs w:val="18"/>
              </w:rPr>
              <w:t>达标值</w:t>
            </w:r>
          </w:p>
        </w:tc>
      </w:tr>
      <w:tr w:rsidR="00420ED3" w:rsidTr="008050D9">
        <w:tc>
          <w:tcPr>
            <w:tcW w:w="2943" w:type="dxa"/>
          </w:tcPr>
          <w:p w:rsidR="00420ED3" w:rsidRDefault="00420ED3" w:rsidP="00E635D2">
            <w:pPr>
              <w:pStyle w:val="a7"/>
              <w:widowControl w:val="0"/>
              <w:ind w:firstLineChars="0" w:firstLine="0"/>
              <w:rPr>
                <w:sz w:val="18"/>
                <w:szCs w:val="18"/>
              </w:rPr>
            </w:pPr>
            <w:r>
              <w:rPr>
                <w:sz w:val="18"/>
                <w:szCs w:val="18"/>
              </w:rPr>
              <w:t>单位面积综合能耗（</w:t>
            </w:r>
            <w:proofErr w:type="spellStart"/>
            <w:r w:rsidR="00E635D2">
              <w:rPr>
                <w:rFonts w:hint="eastAsia"/>
              </w:rPr>
              <w:t>kgce</w:t>
            </w:r>
            <w:proofErr w:type="spellEnd"/>
            <w:r w:rsidR="00E635D2">
              <w:rPr>
                <w:rFonts w:hint="eastAsia"/>
              </w:rPr>
              <w:t xml:space="preserve"> / m</w:t>
            </w:r>
            <w:r w:rsidR="00E635D2">
              <w:rPr>
                <w:rFonts w:hint="eastAsia"/>
                <w:vertAlign w:val="superscript"/>
              </w:rPr>
              <w:t>2</w:t>
            </w:r>
            <w:r>
              <w:rPr>
                <w:sz w:val="18"/>
                <w:szCs w:val="18"/>
              </w:rPr>
              <w:t>）</w:t>
            </w:r>
          </w:p>
        </w:tc>
        <w:tc>
          <w:tcPr>
            <w:tcW w:w="2127" w:type="dxa"/>
          </w:tcPr>
          <w:p w:rsidR="00420ED3" w:rsidRDefault="00420ED3" w:rsidP="008050D9">
            <w:pPr>
              <w:pStyle w:val="a7"/>
              <w:widowControl w:val="0"/>
              <w:ind w:firstLine="360"/>
              <w:rPr>
                <w:sz w:val="18"/>
                <w:szCs w:val="18"/>
              </w:rPr>
            </w:pPr>
            <w:r>
              <w:rPr>
                <w:sz w:val="18"/>
                <w:szCs w:val="18"/>
              </w:rPr>
              <w:t>5</w:t>
            </w:r>
          </w:p>
        </w:tc>
        <w:tc>
          <w:tcPr>
            <w:tcW w:w="1842" w:type="dxa"/>
          </w:tcPr>
          <w:p w:rsidR="00420ED3" w:rsidRDefault="00420ED3" w:rsidP="008050D9">
            <w:pPr>
              <w:pStyle w:val="a7"/>
              <w:widowControl w:val="0"/>
              <w:ind w:firstLine="360"/>
              <w:rPr>
                <w:sz w:val="18"/>
                <w:szCs w:val="18"/>
              </w:rPr>
            </w:pPr>
            <w:r>
              <w:rPr>
                <w:sz w:val="18"/>
                <w:szCs w:val="18"/>
              </w:rPr>
              <w:t>8</w:t>
            </w:r>
          </w:p>
        </w:tc>
        <w:tc>
          <w:tcPr>
            <w:tcW w:w="2410" w:type="dxa"/>
          </w:tcPr>
          <w:p w:rsidR="00420ED3" w:rsidRDefault="00420ED3" w:rsidP="008050D9">
            <w:pPr>
              <w:pStyle w:val="a7"/>
              <w:widowControl w:val="0"/>
              <w:ind w:firstLine="360"/>
              <w:rPr>
                <w:sz w:val="18"/>
                <w:szCs w:val="18"/>
              </w:rPr>
            </w:pPr>
            <w:r>
              <w:rPr>
                <w:sz w:val="18"/>
                <w:szCs w:val="18"/>
              </w:rPr>
              <w:t>16</w:t>
            </w:r>
          </w:p>
        </w:tc>
      </w:tr>
      <w:tr w:rsidR="00420ED3" w:rsidTr="008050D9">
        <w:tc>
          <w:tcPr>
            <w:tcW w:w="2943" w:type="dxa"/>
          </w:tcPr>
          <w:p w:rsidR="00420ED3" w:rsidRDefault="00420ED3" w:rsidP="008050D9">
            <w:pPr>
              <w:pStyle w:val="a7"/>
              <w:widowControl w:val="0"/>
              <w:ind w:firstLineChars="0" w:firstLine="0"/>
              <w:rPr>
                <w:sz w:val="18"/>
                <w:szCs w:val="18"/>
              </w:rPr>
            </w:pPr>
            <w:r>
              <w:rPr>
                <w:sz w:val="18"/>
                <w:szCs w:val="18"/>
              </w:rPr>
              <w:t>单位面电耗（</w:t>
            </w:r>
            <w:r w:rsidR="006D7E98">
              <w:rPr>
                <w:rFonts w:hint="eastAsia"/>
              </w:rPr>
              <w:t>kWh/ m</w:t>
            </w:r>
            <w:r w:rsidR="006D7E98">
              <w:rPr>
                <w:rFonts w:hint="eastAsia"/>
                <w:vertAlign w:val="superscript"/>
              </w:rPr>
              <w:t>2</w:t>
            </w:r>
            <w:r>
              <w:rPr>
                <w:sz w:val="18"/>
                <w:szCs w:val="18"/>
              </w:rPr>
              <w:t>）</w:t>
            </w:r>
          </w:p>
        </w:tc>
        <w:tc>
          <w:tcPr>
            <w:tcW w:w="2127" w:type="dxa"/>
          </w:tcPr>
          <w:p w:rsidR="00420ED3" w:rsidRDefault="00420ED3" w:rsidP="008050D9">
            <w:pPr>
              <w:pStyle w:val="a7"/>
              <w:widowControl w:val="0"/>
              <w:ind w:firstLine="360"/>
              <w:rPr>
                <w:sz w:val="18"/>
                <w:szCs w:val="18"/>
              </w:rPr>
            </w:pPr>
            <w:r>
              <w:rPr>
                <w:sz w:val="18"/>
                <w:szCs w:val="18"/>
              </w:rPr>
              <w:t>12</w:t>
            </w:r>
          </w:p>
        </w:tc>
        <w:tc>
          <w:tcPr>
            <w:tcW w:w="1842" w:type="dxa"/>
          </w:tcPr>
          <w:p w:rsidR="00420ED3" w:rsidRDefault="00420ED3" w:rsidP="008050D9">
            <w:pPr>
              <w:pStyle w:val="a7"/>
              <w:widowControl w:val="0"/>
              <w:ind w:firstLine="360"/>
              <w:rPr>
                <w:sz w:val="18"/>
                <w:szCs w:val="18"/>
              </w:rPr>
            </w:pPr>
            <w:r>
              <w:rPr>
                <w:sz w:val="18"/>
                <w:szCs w:val="18"/>
              </w:rPr>
              <w:t>18</w:t>
            </w:r>
          </w:p>
        </w:tc>
        <w:tc>
          <w:tcPr>
            <w:tcW w:w="2410" w:type="dxa"/>
          </w:tcPr>
          <w:p w:rsidR="00420ED3" w:rsidRDefault="00420ED3" w:rsidP="008050D9">
            <w:pPr>
              <w:pStyle w:val="a7"/>
              <w:widowControl w:val="0"/>
              <w:ind w:firstLine="360"/>
              <w:rPr>
                <w:sz w:val="18"/>
                <w:szCs w:val="18"/>
              </w:rPr>
            </w:pPr>
            <w:r>
              <w:rPr>
                <w:sz w:val="18"/>
                <w:szCs w:val="18"/>
              </w:rPr>
              <w:t>36</w:t>
            </w:r>
          </w:p>
        </w:tc>
      </w:tr>
    </w:tbl>
    <w:p w:rsidR="00420ED3" w:rsidRPr="00102CF4" w:rsidRDefault="00420ED3" w:rsidP="00420ED3">
      <w:pPr>
        <w:pStyle w:val="a7"/>
        <w:ind w:firstLineChars="0" w:firstLine="0"/>
        <w:jc w:val="center"/>
        <w:rPr>
          <w:rFonts w:ascii="仿宋_GB2312" w:eastAsia="仿宋_GB2312" w:hAnsi="华文仿宋"/>
          <w:bCs/>
          <w:kern w:val="2"/>
          <w:sz w:val="28"/>
          <w:szCs w:val="28"/>
        </w:rPr>
      </w:pPr>
      <w:r w:rsidRPr="00102CF4">
        <w:rPr>
          <w:rFonts w:ascii="仿宋_GB2312" w:eastAsia="仿宋_GB2312" w:hAnsi="华文仿宋"/>
          <w:bCs/>
          <w:kern w:val="2"/>
          <w:sz w:val="28"/>
          <w:szCs w:val="28"/>
        </w:rPr>
        <w:t>表</w:t>
      </w:r>
      <w:r>
        <w:rPr>
          <w:rFonts w:ascii="仿宋_GB2312" w:eastAsia="仿宋_GB2312" w:hAnsi="华文仿宋"/>
          <w:bCs/>
          <w:kern w:val="2"/>
          <w:sz w:val="28"/>
          <w:szCs w:val="28"/>
        </w:rPr>
        <w:t>4</w:t>
      </w:r>
      <w:r w:rsidRPr="00102CF4">
        <w:rPr>
          <w:rFonts w:ascii="仿宋_GB2312" w:eastAsia="仿宋_GB2312" w:hAnsi="华文仿宋"/>
          <w:bCs/>
          <w:kern w:val="2"/>
          <w:sz w:val="28"/>
          <w:szCs w:val="28"/>
        </w:rPr>
        <w:t xml:space="preserve">  行政机关人均综合能耗限额</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2127"/>
        <w:gridCol w:w="1842"/>
        <w:gridCol w:w="2410"/>
      </w:tblGrid>
      <w:tr w:rsidR="00420ED3" w:rsidTr="008050D9">
        <w:tc>
          <w:tcPr>
            <w:tcW w:w="2943" w:type="dxa"/>
          </w:tcPr>
          <w:p w:rsidR="00420ED3" w:rsidRDefault="00420ED3" w:rsidP="008050D9">
            <w:pPr>
              <w:pStyle w:val="a7"/>
              <w:widowControl w:val="0"/>
              <w:ind w:firstLineChars="0" w:firstLine="0"/>
              <w:jc w:val="center"/>
              <w:rPr>
                <w:rFonts w:ascii="黑体" w:eastAsia="黑体"/>
                <w:sz w:val="18"/>
                <w:szCs w:val="18"/>
              </w:rPr>
            </w:pPr>
            <w:r>
              <w:rPr>
                <w:rFonts w:ascii="黑体" w:eastAsia="黑体"/>
                <w:sz w:val="18"/>
                <w:szCs w:val="18"/>
              </w:rPr>
              <w:t>能耗指标</w:t>
            </w:r>
          </w:p>
        </w:tc>
        <w:tc>
          <w:tcPr>
            <w:tcW w:w="2127" w:type="dxa"/>
          </w:tcPr>
          <w:p w:rsidR="00420ED3" w:rsidRDefault="00420ED3" w:rsidP="008050D9">
            <w:pPr>
              <w:pStyle w:val="a7"/>
              <w:widowControl w:val="0"/>
              <w:ind w:firstLineChars="0" w:firstLine="0"/>
              <w:jc w:val="center"/>
              <w:rPr>
                <w:rFonts w:ascii="黑体" w:eastAsia="黑体"/>
                <w:sz w:val="18"/>
                <w:szCs w:val="18"/>
              </w:rPr>
            </w:pPr>
            <w:proofErr w:type="gramStart"/>
            <w:r>
              <w:rPr>
                <w:rFonts w:ascii="黑体" w:eastAsia="黑体"/>
                <w:sz w:val="18"/>
                <w:szCs w:val="18"/>
              </w:rPr>
              <w:t>领先值</w:t>
            </w:r>
            <w:proofErr w:type="gramEnd"/>
          </w:p>
        </w:tc>
        <w:tc>
          <w:tcPr>
            <w:tcW w:w="1842" w:type="dxa"/>
          </w:tcPr>
          <w:p w:rsidR="00420ED3" w:rsidRDefault="00420ED3" w:rsidP="008050D9">
            <w:pPr>
              <w:pStyle w:val="a7"/>
              <w:widowControl w:val="0"/>
              <w:ind w:firstLineChars="0" w:firstLine="0"/>
              <w:jc w:val="center"/>
              <w:rPr>
                <w:rFonts w:ascii="黑体" w:eastAsia="黑体"/>
                <w:sz w:val="18"/>
                <w:szCs w:val="18"/>
              </w:rPr>
            </w:pPr>
            <w:r>
              <w:rPr>
                <w:rFonts w:ascii="黑体" w:eastAsia="黑体"/>
                <w:sz w:val="18"/>
                <w:szCs w:val="18"/>
              </w:rPr>
              <w:t>先进值</w:t>
            </w:r>
          </w:p>
        </w:tc>
        <w:tc>
          <w:tcPr>
            <w:tcW w:w="2410" w:type="dxa"/>
          </w:tcPr>
          <w:p w:rsidR="00420ED3" w:rsidRDefault="00420ED3" w:rsidP="008050D9">
            <w:pPr>
              <w:pStyle w:val="a7"/>
              <w:widowControl w:val="0"/>
              <w:ind w:firstLineChars="0" w:firstLine="0"/>
              <w:jc w:val="center"/>
              <w:rPr>
                <w:rFonts w:ascii="黑体" w:eastAsia="黑体"/>
                <w:sz w:val="18"/>
                <w:szCs w:val="18"/>
              </w:rPr>
            </w:pPr>
            <w:r>
              <w:rPr>
                <w:rFonts w:ascii="黑体" w:eastAsia="黑体"/>
                <w:sz w:val="18"/>
                <w:szCs w:val="18"/>
              </w:rPr>
              <w:t>达标值</w:t>
            </w:r>
          </w:p>
        </w:tc>
      </w:tr>
      <w:tr w:rsidR="00420ED3" w:rsidTr="008050D9">
        <w:tc>
          <w:tcPr>
            <w:tcW w:w="2943" w:type="dxa"/>
          </w:tcPr>
          <w:p w:rsidR="00420ED3" w:rsidRDefault="00420ED3" w:rsidP="008050D9">
            <w:pPr>
              <w:pStyle w:val="a7"/>
              <w:widowControl w:val="0"/>
              <w:ind w:firstLineChars="0" w:firstLine="0"/>
              <w:rPr>
                <w:sz w:val="18"/>
                <w:szCs w:val="18"/>
              </w:rPr>
            </w:pPr>
            <w:r>
              <w:rPr>
                <w:sz w:val="18"/>
                <w:szCs w:val="18"/>
              </w:rPr>
              <w:t>人均综合能耗（</w:t>
            </w:r>
            <w:proofErr w:type="spellStart"/>
            <w:r w:rsidR="006D7E98">
              <w:rPr>
                <w:rFonts w:hint="eastAsia"/>
              </w:rPr>
              <w:t>kgce</w:t>
            </w:r>
            <w:proofErr w:type="spellEnd"/>
            <w:r w:rsidR="006D7E98">
              <w:rPr>
                <w:rFonts w:hint="eastAsia"/>
                <w:sz w:val="18"/>
                <w:szCs w:val="18"/>
              </w:rPr>
              <w:t xml:space="preserve"> /人</w:t>
            </w:r>
            <w:r>
              <w:rPr>
                <w:sz w:val="18"/>
                <w:szCs w:val="18"/>
              </w:rPr>
              <w:t>）</w:t>
            </w:r>
          </w:p>
        </w:tc>
        <w:tc>
          <w:tcPr>
            <w:tcW w:w="2127" w:type="dxa"/>
          </w:tcPr>
          <w:p w:rsidR="00420ED3" w:rsidRDefault="00420ED3" w:rsidP="008050D9">
            <w:pPr>
              <w:pStyle w:val="a7"/>
              <w:widowControl w:val="0"/>
              <w:ind w:firstLine="360"/>
              <w:rPr>
                <w:sz w:val="18"/>
                <w:szCs w:val="18"/>
              </w:rPr>
            </w:pPr>
            <w:r>
              <w:rPr>
                <w:sz w:val="18"/>
                <w:szCs w:val="18"/>
              </w:rPr>
              <w:t>155</w:t>
            </w:r>
          </w:p>
        </w:tc>
        <w:tc>
          <w:tcPr>
            <w:tcW w:w="1842" w:type="dxa"/>
          </w:tcPr>
          <w:p w:rsidR="00420ED3" w:rsidRDefault="00420ED3" w:rsidP="008050D9">
            <w:pPr>
              <w:pStyle w:val="a7"/>
              <w:widowControl w:val="0"/>
              <w:ind w:firstLine="360"/>
              <w:rPr>
                <w:sz w:val="18"/>
                <w:szCs w:val="18"/>
              </w:rPr>
            </w:pPr>
            <w:r>
              <w:rPr>
                <w:sz w:val="18"/>
                <w:szCs w:val="18"/>
              </w:rPr>
              <w:t>300</w:t>
            </w:r>
          </w:p>
        </w:tc>
        <w:tc>
          <w:tcPr>
            <w:tcW w:w="2410" w:type="dxa"/>
          </w:tcPr>
          <w:p w:rsidR="00420ED3" w:rsidRDefault="00420ED3" w:rsidP="008050D9">
            <w:pPr>
              <w:pStyle w:val="a7"/>
              <w:widowControl w:val="0"/>
              <w:ind w:firstLine="360"/>
              <w:rPr>
                <w:sz w:val="18"/>
                <w:szCs w:val="18"/>
              </w:rPr>
            </w:pPr>
            <w:r>
              <w:rPr>
                <w:sz w:val="18"/>
                <w:szCs w:val="18"/>
              </w:rPr>
              <w:t>600</w:t>
            </w:r>
          </w:p>
        </w:tc>
      </w:tr>
      <w:tr w:rsidR="00420ED3" w:rsidTr="008050D9">
        <w:tc>
          <w:tcPr>
            <w:tcW w:w="2943" w:type="dxa"/>
          </w:tcPr>
          <w:p w:rsidR="00420ED3" w:rsidRDefault="00420ED3" w:rsidP="008050D9">
            <w:pPr>
              <w:pStyle w:val="a7"/>
              <w:widowControl w:val="0"/>
              <w:ind w:firstLineChars="0" w:firstLine="0"/>
              <w:rPr>
                <w:sz w:val="18"/>
                <w:szCs w:val="18"/>
              </w:rPr>
            </w:pPr>
            <w:r>
              <w:rPr>
                <w:sz w:val="18"/>
                <w:szCs w:val="18"/>
              </w:rPr>
              <w:t>人均电耗（</w:t>
            </w:r>
            <w:r w:rsidR="006D7E98">
              <w:rPr>
                <w:rFonts w:hint="eastAsia"/>
              </w:rPr>
              <w:t>kWh</w:t>
            </w:r>
            <w:r w:rsidR="006D7E98">
              <w:rPr>
                <w:rFonts w:hint="eastAsia"/>
                <w:sz w:val="18"/>
                <w:szCs w:val="18"/>
              </w:rPr>
              <w:t xml:space="preserve"> /人</w:t>
            </w:r>
            <w:r>
              <w:rPr>
                <w:sz w:val="18"/>
                <w:szCs w:val="18"/>
              </w:rPr>
              <w:t>）</w:t>
            </w:r>
          </w:p>
        </w:tc>
        <w:tc>
          <w:tcPr>
            <w:tcW w:w="2127" w:type="dxa"/>
          </w:tcPr>
          <w:p w:rsidR="00420ED3" w:rsidRDefault="00420ED3" w:rsidP="008050D9">
            <w:pPr>
              <w:pStyle w:val="a7"/>
              <w:widowControl w:val="0"/>
              <w:ind w:firstLine="360"/>
              <w:rPr>
                <w:sz w:val="18"/>
                <w:szCs w:val="18"/>
              </w:rPr>
            </w:pPr>
            <w:r>
              <w:rPr>
                <w:sz w:val="18"/>
                <w:szCs w:val="18"/>
              </w:rPr>
              <w:t>500</w:t>
            </w:r>
          </w:p>
        </w:tc>
        <w:tc>
          <w:tcPr>
            <w:tcW w:w="1842" w:type="dxa"/>
          </w:tcPr>
          <w:p w:rsidR="00420ED3" w:rsidRDefault="00420ED3" w:rsidP="008050D9">
            <w:pPr>
              <w:pStyle w:val="a7"/>
              <w:widowControl w:val="0"/>
              <w:ind w:firstLine="360"/>
              <w:rPr>
                <w:sz w:val="18"/>
                <w:szCs w:val="18"/>
              </w:rPr>
            </w:pPr>
            <w:r>
              <w:rPr>
                <w:sz w:val="18"/>
                <w:szCs w:val="18"/>
              </w:rPr>
              <w:t>800</w:t>
            </w:r>
          </w:p>
        </w:tc>
        <w:tc>
          <w:tcPr>
            <w:tcW w:w="2410" w:type="dxa"/>
          </w:tcPr>
          <w:p w:rsidR="00420ED3" w:rsidRDefault="00420ED3" w:rsidP="008050D9">
            <w:pPr>
              <w:pStyle w:val="a7"/>
              <w:widowControl w:val="0"/>
              <w:ind w:firstLine="360"/>
              <w:rPr>
                <w:sz w:val="18"/>
                <w:szCs w:val="18"/>
              </w:rPr>
            </w:pPr>
            <w:r>
              <w:rPr>
                <w:sz w:val="18"/>
                <w:szCs w:val="18"/>
              </w:rPr>
              <w:t>1600</w:t>
            </w:r>
          </w:p>
        </w:tc>
      </w:tr>
    </w:tbl>
    <w:p w:rsidR="00420ED3" w:rsidRPr="00102CF4" w:rsidRDefault="00420ED3" w:rsidP="00420ED3">
      <w:pPr>
        <w:pStyle w:val="a7"/>
        <w:ind w:firstLineChars="0" w:firstLine="0"/>
        <w:jc w:val="center"/>
        <w:rPr>
          <w:rFonts w:ascii="仿宋_GB2312" w:eastAsia="仿宋_GB2312" w:hAnsi="华文仿宋"/>
          <w:bCs/>
          <w:kern w:val="2"/>
          <w:sz w:val="28"/>
          <w:szCs w:val="28"/>
        </w:rPr>
      </w:pPr>
      <w:r w:rsidRPr="00102CF4">
        <w:rPr>
          <w:rFonts w:ascii="仿宋_GB2312" w:eastAsia="仿宋_GB2312" w:hAnsi="华文仿宋"/>
          <w:bCs/>
          <w:kern w:val="2"/>
          <w:sz w:val="28"/>
          <w:szCs w:val="28"/>
        </w:rPr>
        <w:t>表</w:t>
      </w:r>
      <w:r>
        <w:rPr>
          <w:rFonts w:ascii="仿宋_GB2312" w:eastAsia="仿宋_GB2312" w:hAnsi="华文仿宋"/>
          <w:bCs/>
          <w:kern w:val="2"/>
          <w:sz w:val="28"/>
          <w:szCs w:val="28"/>
        </w:rPr>
        <w:t>5</w:t>
      </w:r>
      <w:r w:rsidRPr="00102CF4">
        <w:rPr>
          <w:rFonts w:ascii="仿宋_GB2312" w:eastAsia="仿宋_GB2312" w:hAnsi="华文仿宋"/>
          <w:bCs/>
          <w:kern w:val="2"/>
          <w:sz w:val="28"/>
          <w:szCs w:val="28"/>
        </w:rPr>
        <w:t xml:space="preserve"> 行政机关综合能耗</w:t>
      </w:r>
      <w:r>
        <w:rPr>
          <w:rFonts w:ascii="仿宋_GB2312" w:eastAsia="仿宋_GB2312" w:hAnsi="华文仿宋"/>
          <w:bCs/>
          <w:kern w:val="2"/>
          <w:sz w:val="28"/>
          <w:szCs w:val="28"/>
        </w:rPr>
        <w:t>、</w:t>
      </w:r>
      <w:r w:rsidRPr="00102CF4">
        <w:rPr>
          <w:rFonts w:ascii="仿宋_GB2312" w:eastAsia="仿宋_GB2312" w:hAnsi="华文仿宋"/>
          <w:bCs/>
          <w:kern w:val="2"/>
          <w:sz w:val="28"/>
          <w:szCs w:val="28"/>
        </w:rPr>
        <w:t>电耗定额修正系数</w:t>
      </w:r>
    </w:p>
    <w:tbl>
      <w:tblPr>
        <w:tblW w:w="9345" w:type="dxa"/>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7351"/>
        <w:gridCol w:w="1994"/>
      </w:tblGrid>
      <w:tr w:rsidR="00420ED3" w:rsidTr="008050D9">
        <w:tc>
          <w:tcPr>
            <w:tcW w:w="7351" w:type="dxa"/>
            <w:tcBorders>
              <w:top w:val="single" w:sz="8" w:space="0" w:color="auto"/>
              <w:bottom w:val="single" w:sz="8" w:space="0" w:color="auto"/>
            </w:tcBorders>
            <w:vAlign w:val="center"/>
          </w:tcPr>
          <w:p w:rsidR="00420ED3"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Pr>
                <w:rFonts w:ascii="宋体" w:hAnsi="宋体" w:hint="eastAsia"/>
                <w:sz w:val="18"/>
                <w:szCs w:val="18"/>
              </w:rPr>
              <w:t>修正条件</w:t>
            </w:r>
          </w:p>
        </w:tc>
        <w:tc>
          <w:tcPr>
            <w:tcW w:w="1994" w:type="dxa"/>
            <w:tcBorders>
              <w:top w:val="single" w:sz="8" w:space="0" w:color="auto"/>
              <w:bottom w:val="single" w:sz="8" w:space="0" w:color="auto"/>
            </w:tcBorders>
            <w:vAlign w:val="center"/>
          </w:tcPr>
          <w:p w:rsidR="00420ED3"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Pr>
                <w:rFonts w:ascii="宋体" w:hAnsi="宋体" w:hint="eastAsia"/>
                <w:sz w:val="18"/>
                <w:szCs w:val="18"/>
              </w:rPr>
              <w:t>修正系数</w:t>
            </w:r>
          </w:p>
        </w:tc>
      </w:tr>
      <w:tr w:rsidR="00420ED3" w:rsidTr="008050D9">
        <w:tc>
          <w:tcPr>
            <w:tcW w:w="7351" w:type="dxa"/>
            <w:tcBorders>
              <w:top w:val="single" w:sz="8" w:space="0" w:color="auto"/>
              <w:bottom w:val="single" w:sz="4" w:space="0" w:color="auto"/>
            </w:tcBorders>
            <w:vAlign w:val="center"/>
          </w:tcPr>
          <w:p w:rsidR="00420ED3"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Pr>
                <w:rFonts w:ascii="宋体" w:hAnsi="宋体" w:hint="eastAsia"/>
                <w:sz w:val="18"/>
                <w:szCs w:val="18"/>
              </w:rPr>
              <w:t>行政机关办公建筑内安装有中央空调的</w:t>
            </w:r>
          </w:p>
        </w:tc>
        <w:tc>
          <w:tcPr>
            <w:tcW w:w="1994" w:type="dxa"/>
            <w:tcBorders>
              <w:top w:val="single" w:sz="8" w:space="0" w:color="auto"/>
              <w:bottom w:val="single" w:sz="4" w:space="0" w:color="auto"/>
            </w:tcBorders>
            <w:vAlign w:val="center"/>
          </w:tcPr>
          <w:p w:rsidR="00420ED3" w:rsidRDefault="00420ED3" w:rsidP="008050D9">
            <w:pPr>
              <w:pStyle w:val="a6"/>
              <w:widowControl/>
              <w:tabs>
                <w:tab w:val="center" w:pos="4201"/>
                <w:tab w:val="right" w:leader="dot" w:pos="9298"/>
              </w:tabs>
              <w:autoSpaceDE w:val="0"/>
              <w:autoSpaceDN w:val="0"/>
              <w:spacing w:before="156" w:after="156"/>
              <w:jc w:val="center"/>
              <w:rPr>
                <w:rFonts w:ascii="宋体" w:hAnsi="宋体"/>
                <w:sz w:val="18"/>
                <w:szCs w:val="18"/>
              </w:rPr>
            </w:pPr>
            <w:r>
              <w:rPr>
                <w:rFonts w:ascii="宋体" w:hAnsi="宋体" w:hint="eastAsia"/>
                <w:sz w:val="18"/>
                <w:szCs w:val="18"/>
              </w:rPr>
              <w:t>1.2</w:t>
            </w:r>
          </w:p>
        </w:tc>
      </w:tr>
    </w:tbl>
    <w:p w:rsidR="00420ED3" w:rsidRDefault="00420ED3" w:rsidP="00420ED3">
      <w:pPr>
        <w:pStyle w:val="a7"/>
      </w:pPr>
    </w:p>
    <w:p w:rsidR="00420ED3" w:rsidRDefault="00420ED3" w:rsidP="00420ED3">
      <w:pPr>
        <w:pStyle w:val="1"/>
        <w:snapToGrid w:val="0"/>
        <w:spacing w:before="0" w:after="0" w:line="580" w:lineRule="exact"/>
      </w:pPr>
      <w:bookmarkStart w:id="5" w:name="_Toc452542541"/>
      <w:r>
        <w:rPr>
          <w:rFonts w:hint="eastAsia"/>
        </w:rPr>
        <w:t>标准限额指标确定的主要依据</w:t>
      </w:r>
      <w:bookmarkEnd w:id="5"/>
    </w:p>
    <w:p w:rsidR="00420ED3" w:rsidRDefault="00420ED3" w:rsidP="00420ED3">
      <w:pPr>
        <w:autoSpaceDE w:val="0"/>
        <w:autoSpaceDN w:val="0"/>
        <w:adjustRightInd w:val="0"/>
        <w:spacing w:line="360" w:lineRule="auto"/>
        <w:ind w:firstLine="556"/>
        <w:rPr>
          <w:rFonts w:ascii="仿宋_GB2312" w:eastAsia="仿宋_GB2312" w:hAnsi="华文仿宋"/>
          <w:sz w:val="28"/>
          <w:szCs w:val="28"/>
        </w:rPr>
      </w:pPr>
      <w:r>
        <w:rPr>
          <w:rFonts w:ascii="仿宋_GB2312" w:eastAsia="仿宋_GB2312" w:hAnsi="华文仿宋" w:hint="eastAsia"/>
          <w:sz w:val="28"/>
          <w:szCs w:val="28"/>
        </w:rPr>
        <w:t>根据调查的最终有效数据，利用统计分析软件SAS进行数据统计，利用方差分析法分别对行政机关能耗差异、地区能耗差异进行分析发现，行政机关地区间能耗差异不显著，如常德、株洲</w:t>
      </w:r>
      <w:proofErr w:type="gramStart"/>
      <w:r>
        <w:rPr>
          <w:rFonts w:ascii="仿宋_GB2312" w:eastAsia="仿宋_GB2312" w:hAnsi="华文仿宋" w:hint="eastAsia"/>
          <w:sz w:val="28"/>
          <w:szCs w:val="28"/>
        </w:rPr>
        <w:t>间行政</w:t>
      </w:r>
      <w:proofErr w:type="gramEnd"/>
      <w:r>
        <w:rPr>
          <w:rFonts w:ascii="仿宋_GB2312" w:eastAsia="仿宋_GB2312" w:hAnsi="华文仿宋" w:hint="eastAsia"/>
          <w:sz w:val="28"/>
          <w:szCs w:val="28"/>
        </w:rPr>
        <w:t>机关的差异性指数为5%，即常德、株洲两个城市行政机关的能耗存在95%相同的可能</w:t>
      </w:r>
      <w:r w:rsidR="00370083">
        <w:rPr>
          <w:rFonts w:ascii="仿宋_GB2312" w:eastAsia="仿宋_GB2312" w:hAnsi="华文仿宋" w:hint="eastAsia"/>
          <w:sz w:val="28"/>
          <w:szCs w:val="28"/>
        </w:rPr>
        <w:t>。</w:t>
      </w:r>
      <w:r>
        <w:rPr>
          <w:rFonts w:ascii="仿宋_GB2312" w:eastAsia="仿宋_GB2312" w:hAnsi="华文仿宋" w:hint="eastAsia"/>
          <w:sz w:val="28"/>
          <w:szCs w:val="28"/>
        </w:rPr>
        <w:t>因此，本标准根据我省行政机关能耗现状，并参考相关省份同类标准，选取行政机关单位面积综合能耗、单位面积电耗、人均综合能耗、人均电耗四项能耗指标来确定能耗限额。为体现同等级别、</w:t>
      </w:r>
      <w:r>
        <w:rPr>
          <w:rFonts w:ascii="仿宋_GB2312" w:eastAsia="仿宋_GB2312" w:hAnsi="华文仿宋" w:hint="eastAsia"/>
          <w:sz w:val="28"/>
          <w:szCs w:val="28"/>
        </w:rPr>
        <w:lastRenderedPageBreak/>
        <w:t>同等规模行政机关之间能耗差异，引导行政机关进行节能减排，选取领先值、先进值与达标值三个参数进行进一步区分。其中，</w:t>
      </w:r>
      <w:proofErr w:type="gramStart"/>
      <w:r>
        <w:rPr>
          <w:rFonts w:ascii="仿宋_GB2312" w:eastAsia="仿宋_GB2312" w:hAnsi="华文仿宋" w:hint="eastAsia"/>
          <w:sz w:val="28"/>
          <w:szCs w:val="28"/>
        </w:rPr>
        <w:t>领先值</w:t>
      </w:r>
      <w:proofErr w:type="gramEnd"/>
      <w:r>
        <w:rPr>
          <w:rFonts w:ascii="仿宋_GB2312" w:eastAsia="仿宋_GB2312" w:hAnsi="华文仿宋" w:hint="eastAsia"/>
          <w:sz w:val="28"/>
          <w:szCs w:val="28"/>
        </w:rPr>
        <w:t>选取分类分项样本的前8%</w:t>
      </w:r>
      <w:r w:rsidR="00370083">
        <w:rPr>
          <w:rFonts w:ascii="仿宋_GB2312" w:eastAsia="仿宋_GB2312" w:hAnsi="华文仿宋" w:hint="eastAsia"/>
          <w:sz w:val="28"/>
          <w:szCs w:val="28"/>
        </w:rPr>
        <w:t>。</w:t>
      </w:r>
      <w:r>
        <w:rPr>
          <w:rFonts w:ascii="仿宋_GB2312" w:eastAsia="仿宋_GB2312" w:hAnsi="华文仿宋" w:hint="eastAsia"/>
          <w:sz w:val="28"/>
          <w:szCs w:val="28"/>
        </w:rPr>
        <w:t>如：行政机关单位面积电耗</w:t>
      </w:r>
      <w:proofErr w:type="gramStart"/>
      <w:r>
        <w:rPr>
          <w:rFonts w:ascii="仿宋_GB2312" w:eastAsia="仿宋_GB2312" w:hAnsi="华文仿宋" w:hint="eastAsia"/>
          <w:sz w:val="28"/>
          <w:szCs w:val="28"/>
        </w:rPr>
        <w:t>领先值</w:t>
      </w:r>
      <w:proofErr w:type="gramEnd"/>
      <w:r>
        <w:rPr>
          <w:rFonts w:ascii="仿宋_GB2312" w:eastAsia="仿宋_GB2312" w:hAnsi="华文仿宋" w:hint="eastAsia"/>
          <w:sz w:val="28"/>
          <w:szCs w:val="28"/>
        </w:rPr>
        <w:t>为单位面积电耗的前8%，项目组在进行能耗</w:t>
      </w:r>
      <w:proofErr w:type="gramStart"/>
      <w:r>
        <w:rPr>
          <w:rFonts w:ascii="仿宋_GB2312" w:eastAsia="仿宋_GB2312" w:hAnsi="华文仿宋" w:hint="eastAsia"/>
          <w:sz w:val="28"/>
          <w:szCs w:val="28"/>
        </w:rPr>
        <w:t>领先值</w:t>
      </w:r>
      <w:proofErr w:type="gramEnd"/>
      <w:r>
        <w:rPr>
          <w:rFonts w:ascii="仿宋_GB2312" w:eastAsia="仿宋_GB2312" w:hAnsi="华文仿宋" w:hint="eastAsia"/>
          <w:sz w:val="28"/>
          <w:szCs w:val="28"/>
        </w:rPr>
        <w:t>的确定时，最先选取的是分类分项数据的前5%</w:t>
      </w:r>
      <w:r w:rsidR="00370083">
        <w:rPr>
          <w:rFonts w:ascii="仿宋_GB2312" w:eastAsia="仿宋_GB2312" w:hAnsi="华文仿宋" w:hint="eastAsia"/>
          <w:sz w:val="28"/>
          <w:szCs w:val="28"/>
        </w:rPr>
        <w:t>。</w:t>
      </w:r>
      <w:r>
        <w:rPr>
          <w:rFonts w:ascii="仿宋_GB2312" w:eastAsia="仿宋_GB2312" w:hAnsi="华文仿宋" w:hint="eastAsia"/>
          <w:sz w:val="28"/>
          <w:szCs w:val="28"/>
        </w:rPr>
        <w:t>经过比较发现，前5%的数据不足全面代表行政机关能耗的先进标准，如，部分县级行政机关由于设施陈旧，规模较小，用能很小，整体拉低了单位面积综合能耗、电耗数据，且与其他行政机关能耗数据之间出现断层，如图1所示</w:t>
      </w:r>
      <w:r w:rsidR="00370083">
        <w:rPr>
          <w:rFonts w:ascii="仿宋_GB2312" w:eastAsia="仿宋_GB2312" w:hAnsi="华文仿宋" w:hint="eastAsia"/>
          <w:sz w:val="28"/>
          <w:szCs w:val="28"/>
        </w:rPr>
        <w:t>。</w:t>
      </w:r>
      <w:r>
        <w:rPr>
          <w:rFonts w:ascii="仿宋_GB2312" w:eastAsia="仿宋_GB2312" w:hAnsi="华文仿宋" w:hint="eastAsia"/>
          <w:sz w:val="28"/>
          <w:szCs w:val="28"/>
        </w:rPr>
        <w:t>为解决这种情况，</w:t>
      </w:r>
      <w:proofErr w:type="gramStart"/>
      <w:r>
        <w:rPr>
          <w:rFonts w:ascii="仿宋_GB2312" w:eastAsia="仿宋_GB2312" w:hAnsi="华文仿宋" w:hint="eastAsia"/>
          <w:sz w:val="28"/>
          <w:szCs w:val="28"/>
        </w:rPr>
        <w:t>最终项目</w:t>
      </w:r>
      <w:proofErr w:type="gramEnd"/>
      <w:r>
        <w:rPr>
          <w:rFonts w:ascii="仿宋_GB2312" w:eastAsia="仿宋_GB2312" w:hAnsi="华文仿宋" w:hint="eastAsia"/>
          <w:sz w:val="28"/>
          <w:szCs w:val="28"/>
        </w:rPr>
        <w:t>组选取前8%确定为能耗领先值。</w:t>
      </w:r>
    </w:p>
    <w:p w:rsidR="00420ED3" w:rsidRDefault="00420ED3" w:rsidP="00420ED3">
      <w:pPr>
        <w:autoSpaceDE w:val="0"/>
        <w:autoSpaceDN w:val="0"/>
        <w:adjustRightInd w:val="0"/>
        <w:spacing w:line="360" w:lineRule="auto"/>
        <w:ind w:firstLine="556"/>
        <w:jc w:val="center"/>
        <w:rPr>
          <w:rFonts w:ascii="仿宋_GB2312" w:eastAsia="仿宋_GB2312" w:hAnsi="华文仿宋"/>
          <w:sz w:val="28"/>
          <w:szCs w:val="28"/>
        </w:rPr>
      </w:pPr>
      <w:r>
        <w:rPr>
          <w:rFonts w:ascii="仿宋_GB2312" w:eastAsia="仿宋_GB2312" w:hAnsi="华文仿宋" w:hint="eastAsia"/>
          <w:sz w:val="28"/>
          <w:szCs w:val="28"/>
        </w:rPr>
        <w:t>图1 行政机关单位面积电耗统计分析图表</w:t>
      </w:r>
    </w:p>
    <w:p w:rsidR="00420ED3" w:rsidRPr="006644C2" w:rsidRDefault="00420ED3" w:rsidP="00420ED3">
      <w:pPr>
        <w:widowControl/>
        <w:jc w:val="left"/>
        <w:rPr>
          <w:rFonts w:ascii="宋体" w:hAnsi="宋体" w:cs="宋体"/>
          <w:kern w:val="0"/>
          <w:sz w:val="24"/>
          <w:szCs w:val="24"/>
        </w:rPr>
      </w:pPr>
      <w:r>
        <w:rPr>
          <w:rFonts w:ascii="宋体" w:hAnsi="宋体" w:cs="宋体"/>
          <w:noProof/>
          <w:kern w:val="0"/>
          <w:sz w:val="24"/>
          <w:szCs w:val="24"/>
        </w:rPr>
        <w:drawing>
          <wp:inline distT="0" distB="0" distL="0" distR="0">
            <wp:extent cx="4905375" cy="2833277"/>
            <wp:effectExtent l="0" t="0" r="0" b="5715"/>
            <wp:docPr id="1" name="图片 1" descr="单位面积电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单位面积电耗"/>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05375" cy="2833277"/>
                    </a:xfrm>
                    <a:prstGeom prst="rect">
                      <a:avLst/>
                    </a:prstGeom>
                    <a:noFill/>
                    <a:ln>
                      <a:noFill/>
                    </a:ln>
                  </pic:spPr>
                </pic:pic>
              </a:graphicData>
            </a:graphic>
          </wp:inline>
        </w:drawing>
      </w:r>
    </w:p>
    <w:p w:rsidR="00420ED3" w:rsidRDefault="00420ED3" w:rsidP="00420ED3">
      <w:pPr>
        <w:autoSpaceDE w:val="0"/>
        <w:autoSpaceDN w:val="0"/>
        <w:adjustRightInd w:val="0"/>
        <w:spacing w:line="360" w:lineRule="auto"/>
        <w:ind w:firstLine="556"/>
        <w:rPr>
          <w:rFonts w:ascii="仿宋_GB2312" w:eastAsia="仿宋_GB2312" w:hAnsi="华文仿宋"/>
          <w:sz w:val="28"/>
          <w:szCs w:val="28"/>
        </w:rPr>
      </w:pPr>
      <w:r>
        <w:rPr>
          <w:rFonts w:ascii="仿宋_GB2312" w:eastAsia="仿宋_GB2312" w:hAnsi="华文仿宋" w:hint="eastAsia"/>
          <w:sz w:val="28"/>
          <w:szCs w:val="28"/>
        </w:rPr>
        <w:t>先进值选取样本的前25%，以与</w:t>
      </w:r>
      <w:proofErr w:type="gramStart"/>
      <w:r>
        <w:rPr>
          <w:rFonts w:ascii="仿宋_GB2312" w:eastAsia="仿宋_GB2312" w:hAnsi="华文仿宋" w:hint="eastAsia"/>
          <w:sz w:val="28"/>
          <w:szCs w:val="28"/>
        </w:rPr>
        <w:t>领先值</w:t>
      </w:r>
      <w:proofErr w:type="gramEnd"/>
      <w:r>
        <w:rPr>
          <w:rFonts w:ascii="仿宋_GB2312" w:eastAsia="仿宋_GB2312" w:hAnsi="华文仿宋" w:hint="eastAsia"/>
          <w:sz w:val="28"/>
          <w:szCs w:val="28"/>
        </w:rPr>
        <w:t>形成有效的区分，经过多次利用软件进行统计分析，发现得出将分类分项数据的前25%作为标准的先进值较为合适，因此，项目组最终选取前25%作为标准先进值限额</w:t>
      </w:r>
      <w:r w:rsidR="00FD2072">
        <w:rPr>
          <w:rFonts w:ascii="仿宋_GB2312" w:eastAsia="仿宋_GB2312" w:hAnsi="华文仿宋" w:hint="eastAsia"/>
          <w:sz w:val="28"/>
          <w:szCs w:val="28"/>
        </w:rPr>
        <w:t>。仍</w:t>
      </w:r>
      <w:r>
        <w:rPr>
          <w:rFonts w:ascii="仿宋_GB2312" w:eastAsia="仿宋_GB2312" w:hAnsi="华文仿宋" w:hint="eastAsia"/>
          <w:sz w:val="28"/>
          <w:szCs w:val="28"/>
        </w:rPr>
        <w:t>以图1单位面积电耗为例，数据分布较多、所占比例较大的区间为能耗在16</w:t>
      </w:r>
      <w:r w:rsidRPr="008D12BC">
        <w:rPr>
          <w:rFonts w:hint="eastAsia"/>
        </w:rPr>
        <w:t xml:space="preserve"> </w:t>
      </w:r>
      <w:r>
        <w:rPr>
          <w:rFonts w:hint="eastAsia"/>
        </w:rPr>
        <w:t>kWh/ m</w:t>
      </w:r>
      <w:r>
        <w:rPr>
          <w:rFonts w:hint="eastAsia"/>
          <w:vertAlign w:val="superscript"/>
        </w:rPr>
        <w:t>2</w:t>
      </w:r>
      <w:r>
        <w:rPr>
          <w:rFonts w:ascii="仿宋_GB2312" w:eastAsia="仿宋_GB2312" w:hAnsi="华文仿宋" w:hint="eastAsia"/>
          <w:sz w:val="28"/>
          <w:szCs w:val="28"/>
        </w:rPr>
        <w:t>至18.5</w:t>
      </w:r>
      <w:r w:rsidRPr="008D12BC">
        <w:rPr>
          <w:rFonts w:hint="eastAsia"/>
        </w:rPr>
        <w:t xml:space="preserve"> </w:t>
      </w:r>
      <w:r>
        <w:rPr>
          <w:rFonts w:hint="eastAsia"/>
        </w:rPr>
        <w:t>kWh/ m</w:t>
      </w:r>
      <w:r>
        <w:rPr>
          <w:rFonts w:hint="eastAsia"/>
          <w:vertAlign w:val="superscript"/>
        </w:rPr>
        <w:t>2</w:t>
      </w:r>
      <w:r>
        <w:rPr>
          <w:rFonts w:ascii="仿宋_GB2312" w:eastAsia="仿宋_GB2312" w:hAnsi="华文仿宋" w:hint="eastAsia"/>
          <w:sz w:val="28"/>
          <w:szCs w:val="28"/>
        </w:rPr>
        <w:t>和36</w:t>
      </w:r>
      <w:r w:rsidRPr="008D12BC">
        <w:rPr>
          <w:rFonts w:hint="eastAsia"/>
        </w:rPr>
        <w:t xml:space="preserve"> </w:t>
      </w:r>
      <w:r>
        <w:rPr>
          <w:rFonts w:hint="eastAsia"/>
        </w:rPr>
        <w:t>kWh/ m</w:t>
      </w:r>
      <w:r>
        <w:rPr>
          <w:rFonts w:hint="eastAsia"/>
          <w:vertAlign w:val="superscript"/>
        </w:rPr>
        <w:t>2</w:t>
      </w:r>
      <w:r>
        <w:rPr>
          <w:rFonts w:ascii="仿宋_GB2312" w:eastAsia="仿宋_GB2312" w:hAnsi="华文仿宋" w:hint="eastAsia"/>
          <w:sz w:val="28"/>
          <w:szCs w:val="28"/>
        </w:rPr>
        <w:t>至38.5</w:t>
      </w:r>
      <w:r w:rsidRPr="008D12BC">
        <w:rPr>
          <w:rFonts w:hint="eastAsia"/>
        </w:rPr>
        <w:t xml:space="preserve"> </w:t>
      </w:r>
      <w:r>
        <w:rPr>
          <w:rFonts w:hint="eastAsia"/>
        </w:rPr>
        <w:t>kWh/ m</w:t>
      </w:r>
      <w:r>
        <w:rPr>
          <w:rFonts w:hint="eastAsia"/>
          <w:vertAlign w:val="superscript"/>
        </w:rPr>
        <w:t>2</w:t>
      </w:r>
      <w:r>
        <w:rPr>
          <w:rFonts w:ascii="仿宋_GB2312" w:eastAsia="仿宋_GB2312" w:hAnsi="华文仿宋" w:hint="eastAsia"/>
          <w:sz w:val="28"/>
          <w:szCs w:val="28"/>
        </w:rPr>
        <w:t>之间，</w:t>
      </w:r>
      <w:r>
        <w:rPr>
          <w:rFonts w:ascii="仿宋_GB2312" w:eastAsia="仿宋_GB2312" w:hAnsi="华文仿宋" w:hint="eastAsia"/>
          <w:sz w:val="28"/>
          <w:szCs w:val="28"/>
        </w:rPr>
        <w:lastRenderedPageBreak/>
        <w:t>经过多次细化调整参数，最终确定前25%，即18</w:t>
      </w:r>
      <w:r w:rsidRPr="008D12BC">
        <w:rPr>
          <w:rFonts w:hint="eastAsia"/>
        </w:rPr>
        <w:t xml:space="preserve"> </w:t>
      </w:r>
      <w:r>
        <w:rPr>
          <w:rFonts w:hint="eastAsia"/>
        </w:rPr>
        <w:t>kWh/ m</w:t>
      </w:r>
      <w:r>
        <w:rPr>
          <w:rFonts w:hint="eastAsia"/>
          <w:vertAlign w:val="superscript"/>
        </w:rPr>
        <w:t>2</w:t>
      </w:r>
      <w:r>
        <w:rPr>
          <w:rFonts w:ascii="仿宋_GB2312" w:eastAsia="仿宋_GB2312" w:hAnsi="华文仿宋" w:hint="eastAsia"/>
          <w:sz w:val="28"/>
          <w:szCs w:val="28"/>
        </w:rPr>
        <w:t>为先进值。</w:t>
      </w:r>
    </w:p>
    <w:p w:rsidR="00420ED3" w:rsidRDefault="00420ED3" w:rsidP="00420ED3">
      <w:pPr>
        <w:autoSpaceDE w:val="0"/>
        <w:autoSpaceDN w:val="0"/>
        <w:adjustRightInd w:val="0"/>
        <w:spacing w:line="360" w:lineRule="auto"/>
        <w:ind w:firstLine="556"/>
        <w:rPr>
          <w:rFonts w:ascii="仿宋_GB2312" w:eastAsia="仿宋_GB2312" w:hAnsi="华文仿宋"/>
          <w:sz w:val="28"/>
          <w:szCs w:val="28"/>
        </w:rPr>
      </w:pPr>
      <w:r>
        <w:rPr>
          <w:rFonts w:ascii="仿宋_GB2312" w:eastAsia="仿宋_GB2312" w:hAnsi="华文仿宋" w:hint="eastAsia"/>
          <w:sz w:val="28"/>
          <w:szCs w:val="28"/>
        </w:rPr>
        <w:t>达标</w:t>
      </w:r>
      <w:proofErr w:type="gramStart"/>
      <w:r>
        <w:rPr>
          <w:rFonts w:ascii="仿宋_GB2312" w:eastAsia="仿宋_GB2312" w:hAnsi="华文仿宋" w:hint="eastAsia"/>
          <w:sz w:val="28"/>
          <w:szCs w:val="28"/>
        </w:rPr>
        <w:t>值开始</w:t>
      </w:r>
      <w:proofErr w:type="gramEnd"/>
      <w:r>
        <w:rPr>
          <w:rFonts w:ascii="仿宋_GB2312" w:eastAsia="仿宋_GB2312" w:hAnsi="华文仿宋" w:hint="eastAsia"/>
          <w:sz w:val="28"/>
          <w:szCs w:val="28"/>
        </w:rPr>
        <w:t>选取与工业企业能耗标准准入</w:t>
      </w:r>
      <w:proofErr w:type="gramStart"/>
      <w:r>
        <w:rPr>
          <w:rFonts w:ascii="仿宋_GB2312" w:eastAsia="仿宋_GB2312" w:hAnsi="华文仿宋" w:hint="eastAsia"/>
          <w:sz w:val="28"/>
          <w:szCs w:val="28"/>
        </w:rPr>
        <w:t>值一致</w:t>
      </w:r>
      <w:proofErr w:type="gramEnd"/>
      <w:r>
        <w:rPr>
          <w:rFonts w:ascii="仿宋_GB2312" w:eastAsia="仿宋_GB2312" w:hAnsi="华文仿宋" w:hint="eastAsia"/>
          <w:sz w:val="28"/>
          <w:szCs w:val="28"/>
        </w:rPr>
        <w:t>的前75%，后经过与现有数据进行对标，发现选取75%仅能满足近</w:t>
      </w:r>
      <w:r w:rsidR="00FD2072">
        <w:rPr>
          <w:rFonts w:ascii="仿宋_GB2312" w:eastAsia="仿宋_GB2312" w:hAnsi="华文仿宋" w:hint="eastAsia"/>
          <w:sz w:val="28"/>
          <w:szCs w:val="28"/>
        </w:rPr>
        <w:t>几年</w:t>
      </w:r>
      <w:r>
        <w:rPr>
          <w:rFonts w:ascii="仿宋_GB2312" w:eastAsia="仿宋_GB2312" w:hAnsi="华文仿宋" w:hint="eastAsia"/>
          <w:sz w:val="28"/>
          <w:szCs w:val="28"/>
        </w:rPr>
        <w:t>已有的能耗达标率，根据数据样本</w:t>
      </w:r>
      <w:r w:rsidR="00FD2072">
        <w:rPr>
          <w:rFonts w:ascii="仿宋_GB2312" w:eastAsia="仿宋_GB2312" w:hAnsi="华文仿宋" w:hint="eastAsia"/>
          <w:sz w:val="28"/>
          <w:szCs w:val="28"/>
        </w:rPr>
        <w:t>发现</w:t>
      </w:r>
      <w:r>
        <w:rPr>
          <w:rFonts w:ascii="仿宋_GB2312" w:eastAsia="仿宋_GB2312" w:hAnsi="华文仿宋" w:hint="eastAsia"/>
          <w:sz w:val="28"/>
          <w:szCs w:val="28"/>
        </w:rPr>
        <w:t>，</w:t>
      </w:r>
      <w:r w:rsidR="00FD2072">
        <w:rPr>
          <w:rFonts w:ascii="仿宋_GB2312" w:eastAsia="仿宋_GB2312" w:hAnsi="华文仿宋" w:hint="eastAsia"/>
          <w:sz w:val="28"/>
          <w:szCs w:val="28"/>
        </w:rPr>
        <w:t>行政机关</w:t>
      </w:r>
      <w:r>
        <w:rPr>
          <w:rFonts w:ascii="仿宋_GB2312" w:eastAsia="仿宋_GB2312" w:hAnsi="华文仿宋" w:hint="eastAsia"/>
          <w:sz w:val="28"/>
          <w:szCs w:val="28"/>
        </w:rPr>
        <w:t>能耗数据逐年降低，考虑到标准</w:t>
      </w:r>
      <w:r w:rsidR="00FD2072">
        <w:rPr>
          <w:rFonts w:ascii="仿宋_GB2312" w:eastAsia="仿宋_GB2312" w:hAnsi="华文仿宋" w:hint="eastAsia"/>
          <w:sz w:val="28"/>
          <w:szCs w:val="28"/>
        </w:rPr>
        <w:t>修订</w:t>
      </w:r>
      <w:r>
        <w:rPr>
          <w:rFonts w:ascii="仿宋_GB2312" w:eastAsia="仿宋_GB2312" w:hAnsi="华文仿宋" w:hint="eastAsia"/>
          <w:sz w:val="28"/>
          <w:szCs w:val="28"/>
        </w:rPr>
        <w:t>的目的是为了更好</w:t>
      </w:r>
      <w:r w:rsidR="00FD2072">
        <w:rPr>
          <w:rFonts w:ascii="仿宋_GB2312" w:eastAsia="仿宋_GB2312" w:hAnsi="华文仿宋" w:hint="eastAsia"/>
          <w:sz w:val="28"/>
          <w:szCs w:val="28"/>
        </w:rPr>
        <w:t>地</w:t>
      </w:r>
      <w:r>
        <w:rPr>
          <w:rFonts w:ascii="仿宋_GB2312" w:eastAsia="仿宋_GB2312" w:hAnsi="华文仿宋" w:hint="eastAsia"/>
          <w:sz w:val="28"/>
          <w:szCs w:val="28"/>
        </w:rPr>
        <w:t>促进各行政机关节能降耗，</w:t>
      </w:r>
      <w:proofErr w:type="gramStart"/>
      <w:r>
        <w:rPr>
          <w:rFonts w:ascii="仿宋_GB2312" w:eastAsia="仿宋_GB2312" w:hAnsi="华文仿宋" w:hint="eastAsia"/>
          <w:sz w:val="28"/>
          <w:szCs w:val="28"/>
        </w:rPr>
        <w:t>且标准</w:t>
      </w:r>
      <w:proofErr w:type="gramEnd"/>
      <w:r>
        <w:rPr>
          <w:rFonts w:ascii="仿宋_GB2312" w:eastAsia="仿宋_GB2312" w:hAnsi="华文仿宋" w:hint="eastAsia"/>
          <w:sz w:val="28"/>
          <w:szCs w:val="28"/>
        </w:rPr>
        <w:t>需有适当的前瞻性，本标准最终选取样本的70%作为能耗达标值。</w:t>
      </w:r>
      <w:r>
        <w:rPr>
          <w:rFonts w:ascii="仿宋_GB2312" w:eastAsia="仿宋_GB2312" w:hAnsi="华文仿宋"/>
          <w:sz w:val="28"/>
          <w:szCs w:val="28"/>
        </w:rPr>
        <w:t xml:space="preserve"> </w:t>
      </w:r>
    </w:p>
    <w:p w:rsidR="00420ED3" w:rsidRDefault="00FD2072" w:rsidP="00420ED3">
      <w:pPr>
        <w:autoSpaceDE w:val="0"/>
        <w:autoSpaceDN w:val="0"/>
        <w:adjustRightInd w:val="0"/>
        <w:spacing w:line="360" w:lineRule="auto"/>
        <w:ind w:firstLine="556"/>
        <w:rPr>
          <w:rFonts w:ascii="仿宋_GB2312" w:eastAsia="仿宋_GB2312" w:hAnsi="华文仿宋"/>
          <w:sz w:val="28"/>
          <w:szCs w:val="28"/>
        </w:rPr>
      </w:pPr>
      <w:r>
        <w:rPr>
          <w:rFonts w:ascii="仿宋_GB2312" w:eastAsia="仿宋_GB2312" w:hAnsi="华文仿宋" w:hint="eastAsia"/>
          <w:sz w:val="28"/>
          <w:szCs w:val="28"/>
        </w:rPr>
        <w:t>从调查数据看，各类行政机关能耗</w:t>
      </w:r>
      <w:r w:rsidR="00420ED3">
        <w:rPr>
          <w:rFonts w:ascii="仿宋_GB2312" w:eastAsia="仿宋_GB2312" w:hAnsi="华文仿宋" w:hint="eastAsia"/>
          <w:sz w:val="28"/>
          <w:szCs w:val="28"/>
        </w:rPr>
        <w:t>水平与是否安装中央空调有较大关联，一般安装中央空调的行政机关建筑面积较大，且根据已有数据统计发现，所有</w:t>
      </w:r>
      <w:r>
        <w:rPr>
          <w:rFonts w:ascii="仿宋_GB2312" w:eastAsia="仿宋_GB2312" w:hAnsi="华文仿宋" w:hint="eastAsia"/>
          <w:sz w:val="28"/>
          <w:szCs w:val="28"/>
        </w:rPr>
        <w:t>样本单位</w:t>
      </w:r>
      <w:r w:rsidR="00420ED3">
        <w:rPr>
          <w:rFonts w:ascii="仿宋_GB2312" w:eastAsia="仿宋_GB2312" w:hAnsi="华文仿宋" w:hint="eastAsia"/>
          <w:sz w:val="28"/>
          <w:szCs w:val="28"/>
        </w:rPr>
        <w:t>在安装了中央空调后能耗均有所增加，考虑标准修订的实用性和科学性，标准编制小组根据行政机关是否安装中央空调设置能耗修正系数，适当提高能耗限额值。</w:t>
      </w:r>
    </w:p>
    <w:p w:rsidR="00420ED3" w:rsidRDefault="00420ED3" w:rsidP="00420ED3">
      <w:pPr>
        <w:autoSpaceDE w:val="0"/>
        <w:autoSpaceDN w:val="0"/>
        <w:adjustRightInd w:val="0"/>
        <w:spacing w:line="360" w:lineRule="auto"/>
        <w:ind w:firstLine="556"/>
        <w:rPr>
          <w:rFonts w:ascii="仿宋_GB2312" w:eastAsia="仿宋_GB2312" w:hAnsi="华文仿宋"/>
          <w:sz w:val="28"/>
          <w:szCs w:val="28"/>
        </w:rPr>
      </w:pPr>
      <w:r>
        <w:rPr>
          <w:rFonts w:ascii="仿宋_GB2312" w:eastAsia="仿宋_GB2312" w:hAnsi="华文仿宋" w:hint="eastAsia"/>
          <w:sz w:val="28"/>
          <w:szCs w:val="28"/>
        </w:rPr>
        <w:t>修正系数的确定以原始数据为基准，经过计算得出。如</w:t>
      </w:r>
      <w:r w:rsidR="00FD2072">
        <w:rPr>
          <w:rFonts w:ascii="仿宋_GB2312" w:eastAsia="仿宋_GB2312" w:hAnsi="华文仿宋" w:hint="eastAsia"/>
          <w:sz w:val="28"/>
          <w:szCs w:val="28"/>
        </w:rPr>
        <w:t>某</w:t>
      </w:r>
      <w:r>
        <w:rPr>
          <w:rFonts w:ascii="仿宋_GB2312" w:eastAsia="仿宋_GB2312" w:hAnsi="华文仿宋" w:hint="eastAsia"/>
          <w:sz w:val="28"/>
          <w:szCs w:val="28"/>
        </w:rPr>
        <w:t>市质监局2012年以前没有安装中央空调,总电耗平均为169285，总能耗平均为，2012年以后安装了中央空调，总电耗平均为207200，总能耗，增加率约为1.224；其他情况类似的行政机关能耗增加率85%以上</w:t>
      </w:r>
      <w:r w:rsidR="00FD2072">
        <w:rPr>
          <w:rFonts w:ascii="仿宋_GB2312" w:eastAsia="仿宋_GB2312" w:hAnsi="华文仿宋" w:hint="eastAsia"/>
          <w:sz w:val="28"/>
          <w:szCs w:val="28"/>
        </w:rPr>
        <w:t>处</w:t>
      </w:r>
      <w:r>
        <w:rPr>
          <w:rFonts w:ascii="仿宋_GB2312" w:eastAsia="仿宋_GB2312" w:hAnsi="华文仿宋" w:hint="eastAsia"/>
          <w:sz w:val="28"/>
          <w:szCs w:val="28"/>
        </w:rPr>
        <w:t>在1.185至1.24之间，因此，最终选取1.2作为能耗修正系数。</w:t>
      </w:r>
    </w:p>
    <w:p w:rsidR="00420ED3" w:rsidRDefault="00420ED3" w:rsidP="00420ED3">
      <w:pPr>
        <w:pStyle w:val="1"/>
        <w:snapToGrid w:val="0"/>
        <w:spacing w:before="0" w:after="0" w:line="580" w:lineRule="exact"/>
      </w:pPr>
      <w:bookmarkStart w:id="6" w:name="_Toc452542542"/>
      <w:r>
        <w:rPr>
          <w:rFonts w:hint="eastAsia"/>
        </w:rPr>
        <w:t>与我国有关现行法律、法规和其他强制性标准的关系</w:t>
      </w:r>
      <w:bookmarkEnd w:id="6"/>
    </w:p>
    <w:p w:rsidR="00420ED3" w:rsidRDefault="00420ED3" w:rsidP="00420ED3">
      <w:pPr>
        <w:spacing w:line="580" w:lineRule="exact"/>
        <w:ind w:firstLine="573"/>
        <w:rPr>
          <w:rFonts w:ascii="仿宋_GB2312" w:eastAsia="仿宋_GB2312" w:hAnsi="华文仿宋"/>
          <w:sz w:val="28"/>
          <w:szCs w:val="28"/>
        </w:rPr>
      </w:pPr>
      <w:r>
        <w:rPr>
          <w:rFonts w:ascii="仿宋_GB2312" w:eastAsia="仿宋_GB2312" w:hAnsi="华文仿宋" w:hint="eastAsia"/>
          <w:sz w:val="28"/>
          <w:szCs w:val="28"/>
        </w:rPr>
        <w:t>我省地方标准《行政机关能耗限额及计算方法》以中华人民共和国《节约能源法》、国务院《公共机构节能条例》为指导，严格遵循GB/T 1.1-2009《标准化工作导则 第1部分：标准的结构和编写》的要求。</w:t>
      </w:r>
    </w:p>
    <w:p w:rsidR="00420ED3" w:rsidRDefault="00420ED3" w:rsidP="00420ED3">
      <w:pPr>
        <w:tabs>
          <w:tab w:val="left" w:pos="360"/>
        </w:tabs>
        <w:spacing w:line="360" w:lineRule="auto"/>
        <w:ind w:firstLine="480"/>
        <w:rPr>
          <w:rFonts w:ascii="仿宋_GB2312" w:eastAsia="仿宋_GB2312" w:hAnsi="华文仿宋"/>
          <w:sz w:val="28"/>
          <w:szCs w:val="28"/>
        </w:rPr>
      </w:pPr>
      <w:r>
        <w:rPr>
          <w:rFonts w:ascii="仿宋_GB2312" w:eastAsia="仿宋_GB2312" w:hAnsi="华文仿宋" w:hint="eastAsia"/>
          <w:sz w:val="28"/>
          <w:szCs w:val="28"/>
        </w:rPr>
        <w:t>相关国家标准、地方标准，目前我国在工业领域重点耗能产业、</w:t>
      </w:r>
      <w:r>
        <w:rPr>
          <w:rFonts w:ascii="仿宋_GB2312" w:eastAsia="仿宋_GB2312" w:hAnsi="华文仿宋" w:hint="eastAsia"/>
          <w:sz w:val="28"/>
          <w:szCs w:val="28"/>
        </w:rPr>
        <w:lastRenderedPageBreak/>
        <w:t>产品方面，能耗限额标准相对比较完备。公共机构节能标准在国内仍属探索阶段，2012年，发布实施了GB/T 29149-2012《公共机构能源资源计量器具配备和管理要求》</w:t>
      </w:r>
      <w:r w:rsidR="00FD2072">
        <w:rPr>
          <w:rFonts w:ascii="仿宋_GB2312" w:eastAsia="仿宋_GB2312" w:hAnsi="华文仿宋" w:hint="eastAsia"/>
          <w:sz w:val="28"/>
          <w:szCs w:val="28"/>
        </w:rPr>
        <w:t>。</w:t>
      </w:r>
      <w:r>
        <w:rPr>
          <w:rFonts w:ascii="仿宋_GB2312" w:eastAsia="仿宋_GB2312" w:hAnsi="华文仿宋" w:hint="eastAsia"/>
          <w:sz w:val="28"/>
          <w:szCs w:val="28"/>
        </w:rPr>
        <w:t>近年来，浙江、江苏、北京、深圳等省市先后发布实施了医疗机构、行政机关与公共机构的能耗限额地方标准。本标准修订过程中将这些文件作为了重要的参考依据。</w:t>
      </w:r>
    </w:p>
    <w:p w:rsidR="00420ED3" w:rsidRDefault="00420ED3" w:rsidP="00420ED3">
      <w:pPr>
        <w:pStyle w:val="1"/>
        <w:snapToGrid w:val="0"/>
        <w:spacing w:before="0" w:after="0" w:line="580" w:lineRule="exact"/>
      </w:pPr>
      <w:bookmarkStart w:id="7" w:name="_Toc452542543"/>
      <w:r>
        <w:rPr>
          <w:rFonts w:hint="eastAsia"/>
        </w:rPr>
        <w:t>标准预期的社会经济效益</w:t>
      </w:r>
      <w:bookmarkEnd w:id="7"/>
    </w:p>
    <w:p w:rsidR="00420ED3" w:rsidRDefault="00420ED3" w:rsidP="00420ED3">
      <w:pPr>
        <w:spacing w:line="360" w:lineRule="auto"/>
        <w:ind w:firstLineChars="200" w:firstLine="560"/>
        <w:rPr>
          <w:rFonts w:ascii="仿宋_GB2312" w:eastAsia="仿宋_GB2312" w:hAnsi="华文仿宋"/>
          <w:sz w:val="28"/>
          <w:szCs w:val="28"/>
        </w:rPr>
      </w:pPr>
      <w:r>
        <w:rPr>
          <w:rFonts w:ascii="仿宋_GB2312" w:eastAsia="仿宋_GB2312" w:hAnsi="华文仿宋" w:hint="eastAsia"/>
          <w:sz w:val="28"/>
          <w:szCs w:val="28"/>
        </w:rPr>
        <w:t>本标准的实施，可以引导行政机关合理确定用能需求，通过技术创新、管理优化促进能源节约，为行政机关节约能源支出，直接产生货币化的经济效益。</w:t>
      </w:r>
      <w:r w:rsidRPr="00D8489B">
        <w:rPr>
          <w:rFonts w:ascii="仿宋_GB2312" w:eastAsia="仿宋_GB2312" w:hAnsi="华文仿宋" w:hint="eastAsia"/>
          <w:sz w:val="28"/>
          <w:szCs w:val="28"/>
        </w:rPr>
        <w:t>以一家建筑面积为1000平方米的行政机关一年的电耗为例，DB 43/T 61</w:t>
      </w:r>
      <w:r>
        <w:rPr>
          <w:rFonts w:ascii="仿宋_GB2312" w:eastAsia="仿宋_GB2312" w:hAnsi="华文仿宋" w:hint="eastAsia"/>
          <w:sz w:val="28"/>
          <w:szCs w:val="28"/>
        </w:rPr>
        <w:t>3</w:t>
      </w:r>
      <w:r w:rsidRPr="00D8489B">
        <w:rPr>
          <w:rFonts w:ascii="仿宋_GB2312" w:eastAsia="仿宋_GB2312" w:hAnsi="华文仿宋" w:hint="eastAsia"/>
          <w:sz w:val="28"/>
          <w:szCs w:val="28"/>
        </w:rPr>
        <w:t>-2011规定的</w:t>
      </w:r>
      <w:r w:rsidR="00FD2072">
        <w:rPr>
          <w:rFonts w:ascii="仿宋_GB2312" w:eastAsia="仿宋_GB2312" w:hAnsi="华文仿宋" w:hint="eastAsia"/>
          <w:sz w:val="28"/>
          <w:szCs w:val="28"/>
        </w:rPr>
        <w:t>单位面积综合电耗</w:t>
      </w:r>
      <w:r w:rsidRPr="00D8489B">
        <w:rPr>
          <w:rFonts w:ascii="仿宋_GB2312" w:eastAsia="仿宋_GB2312" w:hAnsi="华文仿宋" w:hint="eastAsia"/>
          <w:sz w:val="28"/>
          <w:szCs w:val="28"/>
        </w:rPr>
        <w:t>定额</w:t>
      </w:r>
      <w:r w:rsidR="00FD2072">
        <w:rPr>
          <w:rFonts w:ascii="仿宋_GB2312" w:eastAsia="仿宋_GB2312" w:hAnsi="华文仿宋" w:hint="eastAsia"/>
          <w:sz w:val="28"/>
          <w:szCs w:val="28"/>
        </w:rPr>
        <w:t>最高为41</w:t>
      </w:r>
      <w:r w:rsidRPr="00D8489B">
        <w:rPr>
          <w:rFonts w:ascii="仿宋_GB2312" w:eastAsia="仿宋_GB2312" w:hAnsi="华文仿宋" w:hint="eastAsia"/>
          <w:sz w:val="28"/>
          <w:szCs w:val="28"/>
        </w:rPr>
        <w:t>kWh/m²相比，本标准规定的</w:t>
      </w:r>
      <w:proofErr w:type="gramStart"/>
      <w:r w:rsidRPr="00D8489B">
        <w:rPr>
          <w:rFonts w:ascii="仿宋_GB2312" w:eastAsia="仿宋_GB2312" w:hAnsi="华文仿宋" w:hint="eastAsia"/>
          <w:sz w:val="28"/>
          <w:szCs w:val="28"/>
        </w:rPr>
        <w:t>领先值</w:t>
      </w:r>
      <w:proofErr w:type="gramEnd"/>
      <w:r w:rsidRPr="00D8489B">
        <w:rPr>
          <w:rFonts w:ascii="仿宋_GB2312" w:eastAsia="仿宋_GB2312" w:hAnsi="华文仿宋" w:hint="eastAsia"/>
          <w:sz w:val="28"/>
          <w:szCs w:val="28"/>
        </w:rPr>
        <w:t>为</w:t>
      </w:r>
      <w:r>
        <w:rPr>
          <w:rFonts w:ascii="仿宋_GB2312" w:eastAsia="仿宋_GB2312" w:hAnsi="华文仿宋" w:hint="eastAsia"/>
          <w:sz w:val="28"/>
          <w:szCs w:val="28"/>
        </w:rPr>
        <w:t>12</w:t>
      </w:r>
      <w:r w:rsidRPr="00D8489B">
        <w:rPr>
          <w:rFonts w:ascii="仿宋_GB2312" w:eastAsia="仿宋_GB2312" w:hAnsi="华文仿宋" w:hint="eastAsia"/>
          <w:sz w:val="28"/>
          <w:szCs w:val="28"/>
        </w:rPr>
        <w:t>kWh/m²，先进值为</w:t>
      </w:r>
      <w:r>
        <w:rPr>
          <w:rFonts w:ascii="仿宋_GB2312" w:eastAsia="仿宋_GB2312" w:hAnsi="华文仿宋" w:hint="eastAsia"/>
          <w:sz w:val="28"/>
          <w:szCs w:val="28"/>
        </w:rPr>
        <w:t>18</w:t>
      </w:r>
      <w:r w:rsidRPr="00D8489B">
        <w:rPr>
          <w:rFonts w:ascii="仿宋_GB2312" w:eastAsia="仿宋_GB2312" w:hAnsi="华文仿宋" w:hint="eastAsia"/>
          <w:sz w:val="28"/>
          <w:szCs w:val="28"/>
        </w:rPr>
        <w:t>kWh/m²，达标值为</w:t>
      </w:r>
      <w:r w:rsidR="00FD2072">
        <w:rPr>
          <w:rFonts w:ascii="仿宋_GB2312" w:eastAsia="仿宋_GB2312" w:hAnsi="华文仿宋" w:hint="eastAsia"/>
          <w:sz w:val="28"/>
          <w:szCs w:val="28"/>
        </w:rPr>
        <w:t>36</w:t>
      </w:r>
      <w:r w:rsidRPr="00D8489B">
        <w:rPr>
          <w:rFonts w:ascii="仿宋_GB2312" w:eastAsia="仿宋_GB2312" w:hAnsi="华文仿宋" w:hint="eastAsia"/>
          <w:sz w:val="28"/>
          <w:szCs w:val="28"/>
        </w:rPr>
        <w:t>kWh/m²。按</w:t>
      </w:r>
      <w:r>
        <w:rPr>
          <w:rFonts w:ascii="仿宋_GB2312" w:eastAsia="仿宋_GB2312" w:hAnsi="华文仿宋" w:hint="eastAsia"/>
          <w:sz w:val="28"/>
          <w:szCs w:val="28"/>
        </w:rPr>
        <w:t>达标值</w:t>
      </w:r>
      <w:r w:rsidRPr="00D8489B">
        <w:rPr>
          <w:rFonts w:ascii="仿宋_GB2312" w:eastAsia="仿宋_GB2312" w:hAnsi="华文仿宋" w:hint="eastAsia"/>
          <w:sz w:val="28"/>
          <w:szCs w:val="28"/>
        </w:rPr>
        <w:t>计算，每平方米建筑面积每年可以节约电能每平方米建筑面积每年可节约电能</w:t>
      </w:r>
      <w:r w:rsidR="00FD2072">
        <w:rPr>
          <w:rFonts w:ascii="仿宋_GB2312" w:eastAsia="仿宋_GB2312" w:hAnsi="华文仿宋" w:hint="eastAsia"/>
          <w:sz w:val="28"/>
          <w:szCs w:val="28"/>
        </w:rPr>
        <w:t>5</w:t>
      </w:r>
      <w:r w:rsidRPr="00D8489B">
        <w:rPr>
          <w:rFonts w:ascii="仿宋_GB2312" w:eastAsia="仿宋_GB2312" w:hAnsi="华文仿宋" w:hint="eastAsia"/>
          <w:sz w:val="28"/>
          <w:szCs w:val="28"/>
        </w:rPr>
        <w:t>kWh，该行政机关一年总共可节约电能</w:t>
      </w:r>
      <w:r w:rsidR="00FD2072">
        <w:rPr>
          <w:rFonts w:ascii="仿宋_GB2312" w:eastAsia="仿宋_GB2312" w:hAnsi="华文仿宋" w:hint="eastAsia"/>
          <w:sz w:val="28"/>
          <w:szCs w:val="28"/>
        </w:rPr>
        <w:t>0.5</w:t>
      </w:r>
      <w:r w:rsidRPr="00D8489B">
        <w:rPr>
          <w:rFonts w:ascii="仿宋_GB2312" w:eastAsia="仿宋_GB2312" w:hAnsi="华文仿宋" w:hint="eastAsia"/>
          <w:sz w:val="28"/>
          <w:szCs w:val="28"/>
        </w:rPr>
        <w:t>万kWh。</w:t>
      </w:r>
    </w:p>
    <w:p w:rsidR="00420ED3" w:rsidRDefault="00420ED3" w:rsidP="00420ED3">
      <w:pPr>
        <w:spacing w:line="360" w:lineRule="auto"/>
        <w:ind w:firstLineChars="200" w:firstLine="560"/>
        <w:rPr>
          <w:rFonts w:ascii="仿宋_GB2312" w:eastAsia="仿宋_GB2312" w:hAnsi="华文仿宋"/>
          <w:sz w:val="28"/>
          <w:szCs w:val="28"/>
        </w:rPr>
      </w:pPr>
      <w:r>
        <w:rPr>
          <w:rFonts w:ascii="仿宋_GB2312" w:eastAsia="仿宋_GB2312" w:hAnsi="华文仿宋" w:hint="eastAsia"/>
          <w:sz w:val="28"/>
          <w:szCs w:val="28"/>
        </w:rPr>
        <w:t xml:space="preserve">通过本标准的修订和实施，可以更好的引导我省行政机关节能降耗，促进我省两型社会发展。 </w:t>
      </w:r>
    </w:p>
    <w:p w:rsidR="00420ED3" w:rsidRDefault="00420ED3" w:rsidP="00420ED3">
      <w:pPr>
        <w:pStyle w:val="1"/>
        <w:snapToGrid w:val="0"/>
        <w:spacing w:line="560" w:lineRule="exact"/>
      </w:pPr>
      <w:bookmarkStart w:id="8" w:name="_Toc452542544"/>
      <w:r>
        <w:rPr>
          <w:rFonts w:hint="eastAsia"/>
        </w:rPr>
        <w:t>贯彻实施本标准的措施、建议</w:t>
      </w:r>
      <w:bookmarkEnd w:id="8"/>
    </w:p>
    <w:p w:rsidR="00420ED3" w:rsidRDefault="00420ED3" w:rsidP="00420ED3">
      <w:pPr>
        <w:widowControl/>
        <w:spacing w:line="560" w:lineRule="exact"/>
        <w:jc w:val="left"/>
        <w:rPr>
          <w:rFonts w:ascii="仿宋_GB2312" w:eastAsia="仿宋_GB2312" w:hAnsi="华文仿宋"/>
          <w:sz w:val="28"/>
          <w:szCs w:val="28"/>
        </w:rPr>
      </w:pPr>
      <w:r>
        <w:rPr>
          <w:rFonts w:ascii="仿宋_GB2312" w:eastAsia="仿宋_GB2312" w:hAnsi="华文仿宋" w:hint="eastAsia"/>
          <w:sz w:val="28"/>
          <w:szCs w:val="28"/>
        </w:rPr>
        <w:t xml:space="preserve">    为更好地贯彻实施本标准，加快推进行政机关节能建设，还应做好以下几个方面的工作。</w:t>
      </w:r>
    </w:p>
    <w:p w:rsidR="00420ED3" w:rsidRDefault="00420ED3" w:rsidP="00420ED3">
      <w:pPr>
        <w:numPr>
          <w:ilvl w:val="0"/>
          <w:numId w:val="4"/>
        </w:numPr>
        <w:spacing w:line="560" w:lineRule="exact"/>
        <w:ind w:firstLine="573"/>
        <w:rPr>
          <w:rFonts w:ascii="仿宋_GB2312" w:eastAsia="仿宋_GB2312" w:hAnsi="华文仿宋"/>
          <w:sz w:val="28"/>
          <w:szCs w:val="28"/>
        </w:rPr>
      </w:pPr>
      <w:r>
        <w:rPr>
          <w:rFonts w:ascii="仿宋_GB2312" w:eastAsia="仿宋_GB2312" w:hAnsi="华文仿宋" w:hint="eastAsia"/>
          <w:sz w:val="28"/>
          <w:szCs w:val="28"/>
        </w:rPr>
        <w:t>做好标准宣传。行政能耗限额标准的修订，应切实做好宣传和引导，减少能源消耗。</w:t>
      </w:r>
    </w:p>
    <w:p w:rsidR="00420ED3" w:rsidRDefault="00420ED3" w:rsidP="00420ED3">
      <w:pPr>
        <w:numPr>
          <w:ilvl w:val="0"/>
          <w:numId w:val="4"/>
        </w:numPr>
        <w:spacing w:line="560" w:lineRule="exact"/>
        <w:ind w:firstLine="573"/>
        <w:rPr>
          <w:rFonts w:ascii="仿宋_GB2312" w:eastAsia="仿宋_GB2312" w:hAnsi="华文仿宋"/>
          <w:sz w:val="28"/>
          <w:szCs w:val="28"/>
        </w:rPr>
      </w:pPr>
      <w:r>
        <w:rPr>
          <w:rFonts w:ascii="仿宋_GB2312" w:eastAsia="仿宋_GB2312" w:hAnsi="华文仿宋" w:hint="eastAsia"/>
          <w:sz w:val="28"/>
          <w:szCs w:val="28"/>
        </w:rPr>
        <w:t>加深标准指导。标准归口单位应进行贯标指导，组织标准编</w:t>
      </w:r>
      <w:r>
        <w:rPr>
          <w:rFonts w:ascii="仿宋_GB2312" w:eastAsia="仿宋_GB2312" w:hAnsi="华文仿宋" w:hint="eastAsia"/>
          <w:sz w:val="28"/>
          <w:szCs w:val="28"/>
        </w:rPr>
        <w:lastRenderedPageBreak/>
        <w:t>制人员进行标准宣贯、答疑和咨询。</w:t>
      </w:r>
    </w:p>
    <w:p w:rsidR="00420ED3" w:rsidRDefault="00420ED3" w:rsidP="00420ED3">
      <w:pPr>
        <w:numPr>
          <w:ilvl w:val="0"/>
          <w:numId w:val="4"/>
        </w:numPr>
        <w:spacing w:line="560" w:lineRule="exact"/>
        <w:ind w:firstLine="573"/>
        <w:rPr>
          <w:rFonts w:ascii="仿宋_GB2312" w:eastAsia="仿宋_GB2312" w:hAnsi="华文仿宋"/>
          <w:sz w:val="28"/>
          <w:szCs w:val="28"/>
        </w:rPr>
      </w:pPr>
      <w:r>
        <w:rPr>
          <w:rFonts w:ascii="仿宋_GB2312" w:eastAsia="仿宋_GB2312" w:hAnsi="华文仿宋" w:hint="eastAsia"/>
          <w:sz w:val="28"/>
          <w:szCs w:val="28"/>
        </w:rPr>
        <w:t>加强监督监察。在标准的实施过程中，加强监督、抽查和指导工作。制定一定的奖惩办法，对不符合能耗限额要求的行政机关要求限期整改，对不符合能耗限额要求的行政机关新建或扩容，不予批复。</w:t>
      </w:r>
    </w:p>
    <w:p w:rsidR="00420ED3" w:rsidRDefault="00420ED3" w:rsidP="00420ED3">
      <w:pPr>
        <w:numPr>
          <w:ilvl w:val="0"/>
          <w:numId w:val="4"/>
        </w:numPr>
        <w:spacing w:line="560" w:lineRule="exact"/>
        <w:ind w:firstLine="573"/>
        <w:rPr>
          <w:rFonts w:ascii="仿宋_GB2312" w:eastAsia="仿宋_GB2312" w:hAnsi="华文仿宋"/>
          <w:sz w:val="28"/>
          <w:szCs w:val="28"/>
        </w:rPr>
      </w:pPr>
      <w:r>
        <w:rPr>
          <w:rFonts w:ascii="仿宋_GB2312" w:eastAsia="仿宋_GB2312" w:hAnsi="华文仿宋" w:hint="eastAsia"/>
          <w:sz w:val="28"/>
          <w:szCs w:val="28"/>
        </w:rPr>
        <w:t>加大经费支持。从项目申报、审核、批复等环节加大对行政机关节能技术改造项目的支持力度。</w:t>
      </w:r>
    </w:p>
    <w:p w:rsidR="00420ED3" w:rsidRDefault="00420ED3" w:rsidP="00420ED3">
      <w:pPr>
        <w:numPr>
          <w:ilvl w:val="0"/>
          <w:numId w:val="4"/>
        </w:numPr>
        <w:spacing w:line="560" w:lineRule="exact"/>
        <w:ind w:firstLine="573"/>
        <w:rPr>
          <w:rFonts w:ascii="仿宋_GB2312" w:eastAsia="仿宋_GB2312" w:hAnsi="华文仿宋"/>
          <w:sz w:val="28"/>
          <w:szCs w:val="28"/>
        </w:rPr>
      </w:pPr>
      <w:r>
        <w:rPr>
          <w:rFonts w:ascii="仿宋_GB2312" w:eastAsia="仿宋_GB2312" w:hAnsi="华文仿宋" w:hint="eastAsia"/>
          <w:sz w:val="28"/>
          <w:szCs w:val="28"/>
        </w:rPr>
        <w:t>完善计量管理。完善的能耗计量管理是节能降耗的前提，有关部门应按照GB/T 29149-2012《公共机构能源资源计量器具配备和管理要求》的规定，指导行政机关建立完备的能耗计量管理体系，规范能源计量器具管理及数据处理。</w:t>
      </w:r>
    </w:p>
    <w:p w:rsidR="00420ED3" w:rsidRDefault="00420ED3" w:rsidP="00420ED3">
      <w:pPr>
        <w:pStyle w:val="1"/>
        <w:snapToGrid w:val="0"/>
        <w:spacing w:line="560" w:lineRule="exact"/>
      </w:pPr>
      <w:bookmarkStart w:id="9" w:name="_Toc452542545"/>
      <w:r>
        <w:rPr>
          <w:rFonts w:hint="eastAsia"/>
        </w:rPr>
        <w:t>废止现行有关标准的建议</w:t>
      </w:r>
      <w:bookmarkEnd w:id="9"/>
    </w:p>
    <w:p w:rsidR="00420ED3" w:rsidRDefault="00FD2072" w:rsidP="00420ED3">
      <w:pPr>
        <w:spacing w:line="560" w:lineRule="exact"/>
        <w:ind w:firstLine="573"/>
        <w:rPr>
          <w:rFonts w:ascii="仿宋_GB2312" w:eastAsia="仿宋_GB2312" w:hAnsi="华文仿宋"/>
          <w:sz w:val="28"/>
          <w:szCs w:val="28"/>
        </w:rPr>
      </w:pPr>
      <w:r>
        <w:rPr>
          <w:rFonts w:ascii="仿宋_GB2312" w:eastAsia="仿宋_GB2312" w:hAnsi="华文仿宋" w:hint="eastAsia"/>
          <w:sz w:val="28"/>
          <w:szCs w:val="28"/>
        </w:rPr>
        <w:t>建议</w:t>
      </w:r>
      <w:bookmarkStart w:id="10" w:name="_GoBack"/>
      <w:bookmarkEnd w:id="10"/>
      <w:r w:rsidR="00420ED3">
        <w:rPr>
          <w:rFonts w:ascii="仿宋_GB2312" w:eastAsia="仿宋_GB2312" w:hAnsi="华文仿宋" w:hint="eastAsia"/>
          <w:sz w:val="28"/>
          <w:szCs w:val="28"/>
        </w:rPr>
        <w:t>本标准实施之日同时废止DB 43/T 613-2011《行政机关综合能耗、综合电耗定额及计算方法》。</w:t>
      </w:r>
    </w:p>
    <w:p w:rsidR="00420ED3" w:rsidRDefault="00420ED3" w:rsidP="00420ED3">
      <w:pPr>
        <w:spacing w:line="580" w:lineRule="exact"/>
        <w:rPr>
          <w:rFonts w:ascii="仿宋_GB2312" w:eastAsia="仿宋_GB2312" w:hAnsi="华文仿宋"/>
          <w:sz w:val="28"/>
          <w:szCs w:val="28"/>
        </w:rPr>
      </w:pPr>
    </w:p>
    <w:p w:rsidR="00E901C6" w:rsidRPr="00420ED3" w:rsidRDefault="00E901C6"/>
    <w:sectPr w:rsidR="00E901C6" w:rsidRPr="00420ED3">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7724" w:rsidRDefault="00937724">
      <w:r>
        <w:separator/>
      </w:r>
    </w:p>
  </w:endnote>
  <w:endnote w:type="continuationSeparator" w:id="0">
    <w:p w:rsidR="00937724" w:rsidRDefault="009377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auto"/>
    <w:pitch w:val="default"/>
    <w:sig w:usb0="00000001"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5248" w:rsidRDefault="00420ED3">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35255" cy="16256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D5248" w:rsidRDefault="003B0E9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D2072" w:rsidRPr="00FD2072">
                            <w:rPr>
                              <w:noProof/>
                            </w:rPr>
                            <w:t>11</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10.65pt;height:12.8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" filled="f" stroked="f">
              <v:textbox style="mso-fit-shape-to-text:t" inset="0,0,0,0">
                <w:txbxContent>
                  <w:p w:rsidR="006D5248" w:rsidRDefault="003B0E9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D2072" w:rsidRPr="00FD2072">
                      <w:rPr>
                        <w:noProof/>
                      </w:rPr>
                      <w:t>11</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7724" w:rsidRDefault="00937724">
      <w:r>
        <w:separator/>
      </w:r>
    </w:p>
  </w:footnote>
  <w:footnote w:type="continuationSeparator" w:id="0">
    <w:p w:rsidR="00937724" w:rsidRDefault="009377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96A84"/>
    <w:multiLevelType w:val="multilevel"/>
    <w:tmpl w:val="0D896A84"/>
    <w:lvl w:ilvl="0">
      <w:start w:val="1"/>
      <w:numFmt w:val="decimal"/>
      <w:pStyle w:val="1"/>
      <w:lvlText w:val="%1"/>
      <w:lvlJc w:val="left"/>
      <w:pPr>
        <w:tabs>
          <w:tab w:val="left" w:pos="425"/>
        </w:tabs>
        <w:ind w:left="425" w:hanging="425"/>
      </w:pPr>
      <w:rPr>
        <w:rFonts w:ascii="黑体" w:eastAsia="黑体" w:hAnsi="黑体" w:hint="eastAsia"/>
      </w:rPr>
    </w:lvl>
    <w:lvl w:ilvl="1" w:tentative="1">
      <w:start w:val="1"/>
      <w:numFmt w:val="decimal"/>
      <w:lvlText w:val="%1.%2"/>
      <w:lvlJc w:val="left"/>
      <w:pPr>
        <w:tabs>
          <w:tab w:val="left" w:pos="567"/>
        </w:tabs>
        <w:ind w:left="567" w:hanging="567"/>
      </w:pPr>
      <w:rPr>
        <w:rFonts w:ascii="黑体" w:eastAsia="黑体" w:hAnsi="黑体" w:hint="eastAsia"/>
        <w:sz w:val="24"/>
        <w:szCs w:val="24"/>
      </w:rPr>
    </w:lvl>
    <w:lvl w:ilvl="2" w:tentative="1">
      <w:start w:val="1"/>
      <w:numFmt w:val="decimal"/>
      <w:lvlText w:val="%1.%2.%3"/>
      <w:lvlJc w:val="left"/>
      <w:pPr>
        <w:tabs>
          <w:tab w:val="left" w:pos="1069"/>
        </w:tabs>
        <w:ind w:left="1069" w:hanging="709"/>
      </w:pPr>
      <w:rPr>
        <w:rFonts w:ascii="黑体" w:eastAsia="黑体" w:hAnsi="黑体" w:hint="eastAsia"/>
      </w:rPr>
    </w:lvl>
    <w:lvl w:ilvl="3" w:tentative="1">
      <w:start w:val="1"/>
      <w:numFmt w:val="decimal"/>
      <w:suff w:val="nothing"/>
      <w:lvlText w:val="（%4）"/>
      <w:lvlJc w:val="left"/>
      <w:pPr>
        <w:ind w:left="851" w:hanging="851"/>
      </w:pPr>
      <w:rPr>
        <w:rFonts w:hint="eastAsia"/>
      </w:rPr>
    </w:lvl>
    <w:lvl w:ilvl="4" w:tentative="1">
      <w:start w:val="1"/>
      <w:numFmt w:val="decimal"/>
      <w:lvlText w:val="%1.%2.%3.%4.%5."/>
      <w:lvlJc w:val="left"/>
      <w:pPr>
        <w:tabs>
          <w:tab w:val="left" w:pos="992"/>
        </w:tabs>
        <w:ind w:left="992" w:hanging="992"/>
      </w:pPr>
      <w:rPr>
        <w:rFonts w:hint="eastAsia"/>
      </w:rPr>
    </w:lvl>
    <w:lvl w:ilvl="5" w:tentative="1">
      <w:start w:val="1"/>
      <w:numFmt w:val="decimal"/>
      <w:lvlText w:val="%1.%2.%3.%4.%5.%6."/>
      <w:lvlJc w:val="left"/>
      <w:pPr>
        <w:tabs>
          <w:tab w:val="left" w:pos="1134"/>
        </w:tabs>
        <w:ind w:left="1134" w:hanging="1134"/>
      </w:pPr>
      <w:rPr>
        <w:rFonts w:hint="eastAsia"/>
      </w:rPr>
    </w:lvl>
    <w:lvl w:ilvl="6" w:tentative="1">
      <w:start w:val="1"/>
      <w:numFmt w:val="decimal"/>
      <w:lvlText w:val="%1.%2.%3.%4.%5.%6.%7."/>
      <w:lvlJc w:val="left"/>
      <w:pPr>
        <w:tabs>
          <w:tab w:val="left" w:pos="1276"/>
        </w:tabs>
        <w:ind w:left="1276" w:hanging="1276"/>
      </w:pPr>
      <w:rPr>
        <w:rFonts w:hint="eastAsia"/>
      </w:rPr>
    </w:lvl>
    <w:lvl w:ilvl="7" w:tentative="1">
      <w:start w:val="1"/>
      <w:numFmt w:val="decimal"/>
      <w:lvlText w:val="%1.%2.%3.%4.%5.%6.%7.%8."/>
      <w:lvlJc w:val="left"/>
      <w:pPr>
        <w:tabs>
          <w:tab w:val="left" w:pos="1418"/>
        </w:tabs>
        <w:ind w:left="1418" w:hanging="1418"/>
      </w:pPr>
      <w:rPr>
        <w:rFonts w:hint="eastAsia"/>
      </w:rPr>
    </w:lvl>
    <w:lvl w:ilvl="8" w:tentative="1">
      <w:start w:val="1"/>
      <w:numFmt w:val="decimal"/>
      <w:lvlText w:val="%1.%2.%3.%4.%5.%6.%7.%8.%9."/>
      <w:lvlJc w:val="left"/>
      <w:pPr>
        <w:tabs>
          <w:tab w:val="left" w:pos="1559"/>
        </w:tabs>
        <w:ind w:left="1559" w:hanging="1559"/>
      </w:pPr>
      <w:rPr>
        <w:rFonts w:hint="eastAsia"/>
      </w:rPr>
    </w:lvl>
  </w:abstractNum>
  <w:abstractNum w:abstractNumId="1">
    <w:nsid w:val="54BCB6DC"/>
    <w:multiLevelType w:val="singleLevel"/>
    <w:tmpl w:val="54BCB6DC"/>
    <w:lvl w:ilvl="0">
      <w:start w:val="1"/>
      <w:numFmt w:val="chineseCounting"/>
      <w:suff w:val="nothing"/>
      <w:lvlText w:val="%1、"/>
      <w:lvlJc w:val="left"/>
    </w:lvl>
  </w:abstractNum>
  <w:abstractNum w:abstractNumId="2">
    <w:nsid w:val="554AE1C2"/>
    <w:multiLevelType w:val="singleLevel"/>
    <w:tmpl w:val="554AE1C2"/>
    <w:lvl w:ilvl="0">
      <w:start w:val="1"/>
      <w:numFmt w:val="decimal"/>
      <w:suff w:val="nothing"/>
      <w:lvlText w:val="%1、"/>
      <w:lvlJc w:val="left"/>
    </w:lvl>
  </w:abstractNum>
  <w:abstractNum w:abstractNumId="3">
    <w:nsid w:val="646260FA"/>
    <w:multiLevelType w:val="multilevel"/>
    <w:tmpl w:val="646260FA"/>
    <w:lvl w:ilvl="0">
      <w:start w:val="1"/>
      <w:numFmt w:val="decimal"/>
      <w:pStyle w:val="a"/>
      <w:suff w:val="nothing"/>
      <w:lvlText w:val="表%1　"/>
      <w:lvlJc w:val="left"/>
      <w:pPr>
        <w:ind w:left="2269" w:firstLine="0"/>
      </w:pPr>
      <w:rPr>
        <w:rFonts w:ascii="黑体" w:eastAsia="黑体" w:hAnsi="Times New Roman" w:hint="eastAsia"/>
        <w:b w:val="0"/>
        <w:i w:val="0"/>
        <w:sz w:val="21"/>
      </w:rPr>
    </w:lvl>
    <w:lvl w:ilvl="1" w:tentative="1">
      <w:start w:val="1"/>
      <w:numFmt w:val="decimal"/>
      <w:lvlText w:val="%1.%2"/>
      <w:lvlJc w:val="left"/>
      <w:pPr>
        <w:tabs>
          <w:tab w:val="left" w:pos="3261"/>
        </w:tabs>
        <w:ind w:left="3261" w:hanging="567"/>
      </w:pPr>
      <w:rPr>
        <w:rFonts w:hint="eastAsia"/>
      </w:rPr>
    </w:lvl>
    <w:lvl w:ilvl="2" w:tentative="1">
      <w:start w:val="1"/>
      <w:numFmt w:val="decimal"/>
      <w:lvlText w:val="%1.%2.%3"/>
      <w:lvlJc w:val="left"/>
      <w:pPr>
        <w:tabs>
          <w:tab w:val="left" w:pos="3687"/>
        </w:tabs>
        <w:ind w:left="3687" w:hanging="567"/>
      </w:pPr>
      <w:rPr>
        <w:rFonts w:hint="eastAsia"/>
      </w:rPr>
    </w:lvl>
    <w:lvl w:ilvl="3" w:tentative="1">
      <w:start w:val="1"/>
      <w:numFmt w:val="decimal"/>
      <w:lvlText w:val="%1.%2.%3.%4"/>
      <w:lvlJc w:val="left"/>
      <w:pPr>
        <w:tabs>
          <w:tab w:val="left" w:pos="4253"/>
        </w:tabs>
        <w:ind w:left="4253" w:hanging="708"/>
      </w:pPr>
      <w:rPr>
        <w:rFonts w:hint="eastAsia"/>
      </w:rPr>
    </w:lvl>
    <w:lvl w:ilvl="4" w:tentative="1">
      <w:start w:val="1"/>
      <w:numFmt w:val="decimal"/>
      <w:lvlText w:val="%1.%2.%3.%4.%5"/>
      <w:lvlJc w:val="left"/>
      <w:pPr>
        <w:tabs>
          <w:tab w:val="left" w:pos="4820"/>
        </w:tabs>
        <w:ind w:left="4820" w:hanging="850"/>
      </w:pPr>
      <w:rPr>
        <w:rFonts w:hint="eastAsia"/>
      </w:rPr>
    </w:lvl>
    <w:lvl w:ilvl="5" w:tentative="1">
      <w:start w:val="1"/>
      <w:numFmt w:val="decimal"/>
      <w:lvlText w:val="%1.%2.%3.%4.%5.%6"/>
      <w:lvlJc w:val="left"/>
      <w:pPr>
        <w:tabs>
          <w:tab w:val="left" w:pos="5529"/>
        </w:tabs>
        <w:ind w:left="5529" w:hanging="1134"/>
      </w:pPr>
      <w:rPr>
        <w:rFonts w:hint="eastAsia"/>
      </w:rPr>
    </w:lvl>
    <w:lvl w:ilvl="6" w:tentative="1">
      <w:start w:val="1"/>
      <w:numFmt w:val="decimal"/>
      <w:lvlText w:val="%1.%2.%3.%4.%5.%6.%7"/>
      <w:lvlJc w:val="left"/>
      <w:pPr>
        <w:tabs>
          <w:tab w:val="left" w:pos="6096"/>
        </w:tabs>
        <w:ind w:left="6096" w:hanging="1276"/>
      </w:pPr>
      <w:rPr>
        <w:rFonts w:hint="eastAsia"/>
      </w:rPr>
    </w:lvl>
    <w:lvl w:ilvl="7" w:tentative="1">
      <w:start w:val="1"/>
      <w:numFmt w:val="decimal"/>
      <w:lvlText w:val="%1.%2.%3.%4.%5.%6.%7.%8"/>
      <w:lvlJc w:val="left"/>
      <w:pPr>
        <w:tabs>
          <w:tab w:val="left" w:pos="6663"/>
        </w:tabs>
        <w:ind w:left="6663" w:hanging="1418"/>
      </w:pPr>
      <w:rPr>
        <w:rFonts w:hint="eastAsia"/>
      </w:rPr>
    </w:lvl>
    <w:lvl w:ilvl="8" w:tentative="1">
      <w:start w:val="1"/>
      <w:numFmt w:val="decimal"/>
      <w:lvlText w:val="%1.%2.%3.%4.%5.%6.%7.%8.%9"/>
      <w:lvlJc w:val="left"/>
      <w:pPr>
        <w:tabs>
          <w:tab w:val="left" w:pos="7371"/>
        </w:tabs>
        <w:ind w:left="7371" w:hanging="1700"/>
      </w:pPr>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0ED3"/>
    <w:rsid w:val="0006671D"/>
    <w:rsid w:val="0022313B"/>
    <w:rsid w:val="002976AE"/>
    <w:rsid w:val="00370083"/>
    <w:rsid w:val="003B0E9C"/>
    <w:rsid w:val="003C5080"/>
    <w:rsid w:val="003E7C57"/>
    <w:rsid w:val="00420ED3"/>
    <w:rsid w:val="004565BF"/>
    <w:rsid w:val="004D02B9"/>
    <w:rsid w:val="006D7E98"/>
    <w:rsid w:val="00913EB1"/>
    <w:rsid w:val="00937724"/>
    <w:rsid w:val="00BA7403"/>
    <w:rsid w:val="00BE36B2"/>
    <w:rsid w:val="00CB008B"/>
    <w:rsid w:val="00DA437F"/>
    <w:rsid w:val="00DB450A"/>
    <w:rsid w:val="00E635D2"/>
    <w:rsid w:val="00E901C6"/>
    <w:rsid w:val="00FD20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1"/>
    <w:link w:val="1Char"/>
    <w:uiPriority w:val="9"/>
    <w:qFormat/>
    <w:rsid w:val="00420ED3"/>
    <w:pPr>
      <w:keepLines/>
      <w:numPr>
        <w:numId w:val="1"/>
      </w:numPr>
      <w:spacing w:before="60" w:after="60"/>
      <w:outlineLvl w:val="0"/>
    </w:pPr>
    <w:rPr>
      <w:rFonts w:ascii="Calibri" w:eastAsia="黑体" w:hAnsi="Calibri" w:cs="Times New Roman"/>
      <w:bCs/>
      <w:kern w:val="44"/>
      <w:sz w:val="28"/>
      <w:szCs w:val="4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420ED3"/>
    <w:rPr>
      <w:rFonts w:ascii="Calibri" w:eastAsia="黑体" w:hAnsi="Calibri" w:cs="Times New Roman"/>
      <w:bCs/>
      <w:kern w:val="44"/>
      <w:sz w:val="28"/>
      <w:szCs w:val="44"/>
    </w:rPr>
  </w:style>
  <w:style w:type="paragraph" w:styleId="a5">
    <w:name w:val="footer"/>
    <w:basedOn w:val="a0"/>
    <w:link w:val="Char"/>
    <w:uiPriority w:val="99"/>
    <w:unhideWhenUsed/>
    <w:qFormat/>
    <w:rsid w:val="00420ED3"/>
    <w:pPr>
      <w:tabs>
        <w:tab w:val="center" w:pos="4153"/>
        <w:tab w:val="right" w:pos="8306"/>
      </w:tabs>
      <w:snapToGrid w:val="0"/>
      <w:jc w:val="left"/>
    </w:pPr>
    <w:rPr>
      <w:rFonts w:ascii="Calibri" w:eastAsia="宋体" w:hAnsi="Calibri" w:cs="Times New Roman"/>
      <w:sz w:val="18"/>
      <w:szCs w:val="18"/>
    </w:rPr>
  </w:style>
  <w:style w:type="character" w:customStyle="1" w:styleId="Char">
    <w:name w:val="页脚 Char"/>
    <w:basedOn w:val="a2"/>
    <w:link w:val="a5"/>
    <w:uiPriority w:val="99"/>
    <w:rsid w:val="00420ED3"/>
    <w:rPr>
      <w:rFonts w:ascii="Calibri" w:eastAsia="宋体" w:hAnsi="Calibri" w:cs="Times New Roman"/>
      <w:sz w:val="18"/>
      <w:szCs w:val="18"/>
    </w:rPr>
  </w:style>
  <w:style w:type="paragraph" w:styleId="10">
    <w:name w:val="toc 1"/>
    <w:basedOn w:val="a0"/>
    <w:next w:val="a0"/>
    <w:uiPriority w:val="39"/>
    <w:unhideWhenUsed/>
    <w:qFormat/>
    <w:rsid w:val="00420ED3"/>
    <w:rPr>
      <w:rFonts w:ascii="Calibri" w:eastAsia="宋体" w:hAnsi="Calibri" w:cs="Times New Roman"/>
    </w:rPr>
  </w:style>
  <w:style w:type="paragraph" w:styleId="a6">
    <w:name w:val="Normal (Web)"/>
    <w:basedOn w:val="a0"/>
    <w:unhideWhenUsed/>
    <w:rsid w:val="00420ED3"/>
    <w:rPr>
      <w:rFonts w:ascii="Calibri" w:eastAsia="宋体" w:hAnsi="Calibri" w:cs="Times New Roman"/>
      <w:sz w:val="24"/>
    </w:rPr>
  </w:style>
  <w:style w:type="paragraph" w:customStyle="1" w:styleId="11">
    <w:name w:val="列出段落1"/>
    <w:basedOn w:val="a0"/>
    <w:uiPriority w:val="34"/>
    <w:qFormat/>
    <w:rsid w:val="00420ED3"/>
    <w:pPr>
      <w:ind w:firstLineChars="200" w:firstLine="420"/>
    </w:pPr>
    <w:rPr>
      <w:rFonts w:ascii="Calibri" w:eastAsia="宋体" w:hAnsi="Calibri" w:cs="Times New Roman"/>
    </w:rPr>
  </w:style>
  <w:style w:type="paragraph" w:customStyle="1" w:styleId="a7">
    <w:name w:val="段"/>
    <w:basedOn w:val="a0"/>
    <w:link w:val="Char0"/>
    <w:rsid w:val="00420ED3"/>
    <w:pPr>
      <w:widowControl/>
      <w:tabs>
        <w:tab w:val="center" w:pos="4201"/>
        <w:tab w:val="right" w:leader="dot" w:pos="9298"/>
      </w:tabs>
      <w:autoSpaceDE w:val="0"/>
      <w:autoSpaceDN w:val="0"/>
      <w:ind w:firstLineChars="200" w:firstLine="420"/>
    </w:pPr>
    <w:rPr>
      <w:rFonts w:ascii="宋体" w:eastAsia="宋体" w:hAnsi="Times New Roman" w:cs="Times New Roman"/>
      <w:kern w:val="0"/>
      <w:szCs w:val="20"/>
    </w:rPr>
  </w:style>
  <w:style w:type="paragraph" w:customStyle="1" w:styleId="a">
    <w:name w:val="正文表标题"/>
    <w:next w:val="a7"/>
    <w:rsid w:val="00420ED3"/>
    <w:pPr>
      <w:numPr>
        <w:numId w:val="2"/>
      </w:numPr>
      <w:tabs>
        <w:tab w:val="left" w:pos="360"/>
      </w:tabs>
      <w:spacing w:beforeLines="50" w:before="156" w:afterLines="50" w:after="156"/>
      <w:jc w:val="center"/>
    </w:pPr>
    <w:rPr>
      <w:rFonts w:ascii="黑体" w:eastAsia="黑体" w:hAnsi="Times New Roman" w:cs="Times New Roman"/>
      <w:kern w:val="0"/>
      <w:szCs w:val="20"/>
    </w:rPr>
  </w:style>
  <w:style w:type="character" w:customStyle="1" w:styleId="Char0">
    <w:name w:val="段 Char"/>
    <w:link w:val="a7"/>
    <w:qFormat/>
    <w:rsid w:val="00420ED3"/>
    <w:rPr>
      <w:rFonts w:ascii="宋体" w:eastAsia="宋体" w:hAnsi="Times New Roman" w:cs="Times New Roman"/>
      <w:kern w:val="0"/>
      <w:szCs w:val="20"/>
    </w:rPr>
  </w:style>
  <w:style w:type="paragraph" w:styleId="a1">
    <w:name w:val="Normal Indent"/>
    <w:basedOn w:val="a0"/>
    <w:uiPriority w:val="99"/>
    <w:semiHidden/>
    <w:unhideWhenUsed/>
    <w:rsid w:val="00420ED3"/>
    <w:pPr>
      <w:ind w:firstLineChars="200" w:firstLine="420"/>
    </w:pPr>
  </w:style>
  <w:style w:type="paragraph" w:styleId="a8">
    <w:name w:val="Balloon Text"/>
    <w:basedOn w:val="a0"/>
    <w:link w:val="Char1"/>
    <w:uiPriority w:val="99"/>
    <w:semiHidden/>
    <w:unhideWhenUsed/>
    <w:rsid w:val="00420ED3"/>
    <w:rPr>
      <w:sz w:val="18"/>
      <w:szCs w:val="18"/>
    </w:rPr>
  </w:style>
  <w:style w:type="character" w:customStyle="1" w:styleId="Char1">
    <w:name w:val="批注框文本 Char"/>
    <w:basedOn w:val="a2"/>
    <w:link w:val="a8"/>
    <w:uiPriority w:val="99"/>
    <w:semiHidden/>
    <w:rsid w:val="00420ED3"/>
    <w:rPr>
      <w:sz w:val="18"/>
      <w:szCs w:val="18"/>
    </w:rPr>
  </w:style>
  <w:style w:type="character" w:styleId="a9">
    <w:name w:val="Hyperlink"/>
    <w:basedOn w:val="a2"/>
    <w:uiPriority w:val="99"/>
    <w:unhideWhenUsed/>
    <w:rsid w:val="003B0E9C"/>
    <w:rPr>
      <w:color w:val="0000FF" w:themeColor="hyperlink"/>
      <w:u w:val="single"/>
    </w:rPr>
  </w:style>
  <w:style w:type="paragraph" w:styleId="aa">
    <w:name w:val="header"/>
    <w:basedOn w:val="a0"/>
    <w:link w:val="Char2"/>
    <w:uiPriority w:val="99"/>
    <w:unhideWhenUsed/>
    <w:rsid w:val="004D02B9"/>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2"/>
    <w:link w:val="aa"/>
    <w:uiPriority w:val="99"/>
    <w:rsid w:val="004D02B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1"/>
    <w:link w:val="1Char"/>
    <w:uiPriority w:val="9"/>
    <w:qFormat/>
    <w:rsid w:val="00420ED3"/>
    <w:pPr>
      <w:keepLines/>
      <w:numPr>
        <w:numId w:val="1"/>
      </w:numPr>
      <w:spacing w:before="60" w:after="60"/>
      <w:outlineLvl w:val="0"/>
    </w:pPr>
    <w:rPr>
      <w:rFonts w:ascii="Calibri" w:eastAsia="黑体" w:hAnsi="Calibri" w:cs="Times New Roman"/>
      <w:bCs/>
      <w:kern w:val="44"/>
      <w:sz w:val="28"/>
      <w:szCs w:val="4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420ED3"/>
    <w:rPr>
      <w:rFonts w:ascii="Calibri" w:eastAsia="黑体" w:hAnsi="Calibri" w:cs="Times New Roman"/>
      <w:bCs/>
      <w:kern w:val="44"/>
      <w:sz w:val="28"/>
      <w:szCs w:val="44"/>
    </w:rPr>
  </w:style>
  <w:style w:type="paragraph" w:styleId="a5">
    <w:name w:val="footer"/>
    <w:basedOn w:val="a0"/>
    <w:link w:val="Char"/>
    <w:uiPriority w:val="99"/>
    <w:unhideWhenUsed/>
    <w:qFormat/>
    <w:rsid w:val="00420ED3"/>
    <w:pPr>
      <w:tabs>
        <w:tab w:val="center" w:pos="4153"/>
        <w:tab w:val="right" w:pos="8306"/>
      </w:tabs>
      <w:snapToGrid w:val="0"/>
      <w:jc w:val="left"/>
    </w:pPr>
    <w:rPr>
      <w:rFonts w:ascii="Calibri" w:eastAsia="宋体" w:hAnsi="Calibri" w:cs="Times New Roman"/>
      <w:sz w:val="18"/>
      <w:szCs w:val="18"/>
    </w:rPr>
  </w:style>
  <w:style w:type="character" w:customStyle="1" w:styleId="Char">
    <w:name w:val="页脚 Char"/>
    <w:basedOn w:val="a2"/>
    <w:link w:val="a5"/>
    <w:uiPriority w:val="99"/>
    <w:rsid w:val="00420ED3"/>
    <w:rPr>
      <w:rFonts w:ascii="Calibri" w:eastAsia="宋体" w:hAnsi="Calibri" w:cs="Times New Roman"/>
      <w:sz w:val="18"/>
      <w:szCs w:val="18"/>
    </w:rPr>
  </w:style>
  <w:style w:type="paragraph" w:styleId="10">
    <w:name w:val="toc 1"/>
    <w:basedOn w:val="a0"/>
    <w:next w:val="a0"/>
    <w:uiPriority w:val="39"/>
    <w:unhideWhenUsed/>
    <w:qFormat/>
    <w:rsid w:val="00420ED3"/>
    <w:rPr>
      <w:rFonts w:ascii="Calibri" w:eastAsia="宋体" w:hAnsi="Calibri" w:cs="Times New Roman"/>
    </w:rPr>
  </w:style>
  <w:style w:type="paragraph" w:styleId="a6">
    <w:name w:val="Normal (Web)"/>
    <w:basedOn w:val="a0"/>
    <w:unhideWhenUsed/>
    <w:rsid w:val="00420ED3"/>
    <w:rPr>
      <w:rFonts w:ascii="Calibri" w:eastAsia="宋体" w:hAnsi="Calibri" w:cs="Times New Roman"/>
      <w:sz w:val="24"/>
    </w:rPr>
  </w:style>
  <w:style w:type="paragraph" w:customStyle="1" w:styleId="11">
    <w:name w:val="列出段落1"/>
    <w:basedOn w:val="a0"/>
    <w:uiPriority w:val="34"/>
    <w:qFormat/>
    <w:rsid w:val="00420ED3"/>
    <w:pPr>
      <w:ind w:firstLineChars="200" w:firstLine="420"/>
    </w:pPr>
    <w:rPr>
      <w:rFonts w:ascii="Calibri" w:eastAsia="宋体" w:hAnsi="Calibri" w:cs="Times New Roman"/>
    </w:rPr>
  </w:style>
  <w:style w:type="paragraph" w:customStyle="1" w:styleId="a7">
    <w:name w:val="段"/>
    <w:basedOn w:val="a0"/>
    <w:link w:val="Char0"/>
    <w:rsid w:val="00420ED3"/>
    <w:pPr>
      <w:widowControl/>
      <w:tabs>
        <w:tab w:val="center" w:pos="4201"/>
        <w:tab w:val="right" w:leader="dot" w:pos="9298"/>
      </w:tabs>
      <w:autoSpaceDE w:val="0"/>
      <w:autoSpaceDN w:val="0"/>
      <w:ind w:firstLineChars="200" w:firstLine="420"/>
    </w:pPr>
    <w:rPr>
      <w:rFonts w:ascii="宋体" w:eastAsia="宋体" w:hAnsi="Times New Roman" w:cs="Times New Roman"/>
      <w:kern w:val="0"/>
      <w:szCs w:val="20"/>
    </w:rPr>
  </w:style>
  <w:style w:type="paragraph" w:customStyle="1" w:styleId="a">
    <w:name w:val="正文表标题"/>
    <w:next w:val="a7"/>
    <w:rsid w:val="00420ED3"/>
    <w:pPr>
      <w:numPr>
        <w:numId w:val="2"/>
      </w:numPr>
      <w:tabs>
        <w:tab w:val="left" w:pos="360"/>
      </w:tabs>
      <w:spacing w:beforeLines="50" w:before="156" w:afterLines="50" w:after="156"/>
      <w:jc w:val="center"/>
    </w:pPr>
    <w:rPr>
      <w:rFonts w:ascii="黑体" w:eastAsia="黑体" w:hAnsi="Times New Roman" w:cs="Times New Roman"/>
      <w:kern w:val="0"/>
      <w:szCs w:val="20"/>
    </w:rPr>
  </w:style>
  <w:style w:type="character" w:customStyle="1" w:styleId="Char0">
    <w:name w:val="段 Char"/>
    <w:link w:val="a7"/>
    <w:qFormat/>
    <w:rsid w:val="00420ED3"/>
    <w:rPr>
      <w:rFonts w:ascii="宋体" w:eastAsia="宋体" w:hAnsi="Times New Roman" w:cs="Times New Roman"/>
      <w:kern w:val="0"/>
      <w:szCs w:val="20"/>
    </w:rPr>
  </w:style>
  <w:style w:type="paragraph" w:styleId="a1">
    <w:name w:val="Normal Indent"/>
    <w:basedOn w:val="a0"/>
    <w:uiPriority w:val="99"/>
    <w:semiHidden/>
    <w:unhideWhenUsed/>
    <w:rsid w:val="00420ED3"/>
    <w:pPr>
      <w:ind w:firstLineChars="200" w:firstLine="420"/>
    </w:pPr>
  </w:style>
  <w:style w:type="paragraph" w:styleId="a8">
    <w:name w:val="Balloon Text"/>
    <w:basedOn w:val="a0"/>
    <w:link w:val="Char1"/>
    <w:uiPriority w:val="99"/>
    <w:semiHidden/>
    <w:unhideWhenUsed/>
    <w:rsid w:val="00420ED3"/>
    <w:rPr>
      <w:sz w:val="18"/>
      <w:szCs w:val="18"/>
    </w:rPr>
  </w:style>
  <w:style w:type="character" w:customStyle="1" w:styleId="Char1">
    <w:name w:val="批注框文本 Char"/>
    <w:basedOn w:val="a2"/>
    <w:link w:val="a8"/>
    <w:uiPriority w:val="99"/>
    <w:semiHidden/>
    <w:rsid w:val="00420ED3"/>
    <w:rPr>
      <w:sz w:val="18"/>
      <w:szCs w:val="18"/>
    </w:rPr>
  </w:style>
  <w:style w:type="character" w:styleId="a9">
    <w:name w:val="Hyperlink"/>
    <w:basedOn w:val="a2"/>
    <w:uiPriority w:val="99"/>
    <w:unhideWhenUsed/>
    <w:rsid w:val="003B0E9C"/>
    <w:rPr>
      <w:color w:val="0000FF" w:themeColor="hyperlink"/>
      <w:u w:val="single"/>
    </w:rPr>
  </w:style>
  <w:style w:type="paragraph" w:styleId="aa">
    <w:name w:val="header"/>
    <w:basedOn w:val="a0"/>
    <w:link w:val="Char2"/>
    <w:uiPriority w:val="99"/>
    <w:unhideWhenUsed/>
    <w:rsid w:val="004D02B9"/>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2"/>
    <w:link w:val="aa"/>
    <w:uiPriority w:val="99"/>
    <w:rsid w:val="004D02B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11</Pages>
  <Words>865</Words>
  <Characters>4935</Characters>
  <Application>Microsoft Office Word</Application>
  <DocSecurity>0</DocSecurity>
  <Lines>41</Lines>
  <Paragraphs>11</Paragraphs>
  <ScaleCrop>false</ScaleCrop>
  <Company/>
  <LinksUpToDate>false</LinksUpToDate>
  <CharactersWithSpaces>5789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gongping</dc:creator>
  <cp:lastModifiedBy>gongping</cp:lastModifiedBy>
  <cp:revision>17</cp:revision>
  <cp:lastPrinted>2016-06-08T01:04:00Z</cp:lastPrinted>
  <dcterms:created xsi:type="dcterms:W3CDTF">2016-06-01T03:05:00Z</dcterms:created>
  <dcterms:modified xsi:type="dcterms:W3CDTF">2016-06-08T03:02:00Z</dcterms:modified>
</cp:coreProperties>
</file>